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Pr="00754A37" w:rsidRDefault="00754A37" w:rsidP="00754A37">
      <w:pPr>
        <w:pStyle w:val="Nadpis1"/>
      </w:pPr>
      <w:r w:rsidRPr="00754A37">
        <w:t>Rod substantiv III. deklinace</w:t>
      </w:r>
    </w:p>
    <w:p w:rsidR="00754A37" w:rsidRDefault="00754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Zdroj: Novotný, František a kol. Základní latinská mluvnice. Praha 1992, 2. vydání (1. vydání z roku 1957). ISBN 80-85467-91-7. </w:t>
      </w:r>
      <w:r>
        <w:rPr>
          <w:rFonts w:ascii="Times New Roman" w:hAnsi="Times New Roman" w:cs="Times New Roman"/>
        </w:rPr>
        <w:t>Strana 32, § 42-44.</w:t>
      </w:r>
    </w:p>
    <w:p w:rsidR="00754A37" w:rsidRDefault="00754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substantiv III. deklinace jsou zastoupeny všechny tři rody. </w:t>
      </w:r>
    </w:p>
    <w:p w:rsidR="00754A37" w:rsidRDefault="00754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 umělých pravidel pro poznávání rodu substantiv III. deklinace je účelné zapamatovati si vhodná spojení substantiva s adjektivem, např.: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4A37" w:rsidTr="00754A37">
        <w:tc>
          <w:tcPr>
            <w:tcW w:w="4606" w:type="dxa"/>
          </w:tcPr>
          <w:p w:rsidR="00754A37" w:rsidRDefault="00754A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sermō</w:t>
            </w:r>
            <w:proofErr w:type="spellEnd"/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ōnis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Latīnus</w:t>
            </w:r>
            <w:proofErr w:type="spellEnd"/>
          </w:p>
        </w:tc>
        <w:tc>
          <w:tcPr>
            <w:tcW w:w="4606" w:type="dxa"/>
          </w:tcPr>
          <w:p w:rsidR="00754A37" w:rsidRDefault="00754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latinská řeč</w:t>
            </w:r>
          </w:p>
        </w:tc>
      </w:tr>
      <w:tr w:rsidR="00754A37" w:rsidTr="00754A37">
        <w:tc>
          <w:tcPr>
            <w:tcW w:w="4606" w:type="dxa"/>
          </w:tcPr>
          <w:p w:rsidR="00754A37" w:rsidRDefault="00754A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ratiō</w:t>
            </w:r>
            <w:proofErr w:type="spellEnd"/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ōnis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hūmāna</w:t>
            </w:r>
            <w:proofErr w:type="spellEnd"/>
          </w:p>
        </w:tc>
        <w:tc>
          <w:tcPr>
            <w:tcW w:w="4606" w:type="dxa"/>
          </w:tcPr>
          <w:p w:rsidR="00754A37" w:rsidRDefault="00754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lidský rozum</w:t>
            </w:r>
          </w:p>
        </w:tc>
      </w:tr>
      <w:tr w:rsidR="00754A37" w:rsidTr="00754A37">
        <w:tc>
          <w:tcPr>
            <w:tcW w:w="4606" w:type="dxa"/>
          </w:tcPr>
          <w:p w:rsidR="00754A37" w:rsidRDefault="00754A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ordō</w:t>
            </w:r>
            <w:proofErr w:type="spellEnd"/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inis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senātōrius</w:t>
            </w:r>
            <w:proofErr w:type="spellEnd"/>
          </w:p>
        </w:tc>
        <w:tc>
          <w:tcPr>
            <w:tcW w:w="4606" w:type="dxa"/>
          </w:tcPr>
          <w:p w:rsidR="00754A37" w:rsidRDefault="00754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 senátorský</w:t>
            </w:r>
          </w:p>
        </w:tc>
      </w:tr>
      <w:tr w:rsidR="00754A37" w:rsidTr="00754A37">
        <w:tc>
          <w:tcPr>
            <w:tcW w:w="4606" w:type="dxa"/>
          </w:tcPr>
          <w:p w:rsidR="00754A37" w:rsidRDefault="00754A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flōs</w:t>
            </w:r>
            <w:proofErr w:type="spellEnd"/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ōris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pulcher</w:t>
            </w:r>
            <w:proofErr w:type="spellEnd"/>
          </w:p>
        </w:tc>
        <w:tc>
          <w:tcPr>
            <w:tcW w:w="4606" w:type="dxa"/>
          </w:tcPr>
          <w:p w:rsidR="00754A37" w:rsidRDefault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krásný květ</w:t>
            </w:r>
          </w:p>
        </w:tc>
      </w:tr>
      <w:tr w:rsidR="00754A37" w:rsidTr="00754A37">
        <w:tc>
          <w:tcPr>
            <w:tcW w:w="4606" w:type="dxa"/>
          </w:tcPr>
          <w:p w:rsidR="00754A37" w:rsidRDefault="00D54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dōs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dōtis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magna</w:t>
            </w:r>
            <w:proofErr w:type="spellEnd"/>
          </w:p>
        </w:tc>
        <w:tc>
          <w:tcPr>
            <w:tcW w:w="4606" w:type="dxa"/>
          </w:tcPr>
          <w:p w:rsidR="00754A37" w:rsidRDefault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velké věno</w:t>
            </w:r>
          </w:p>
        </w:tc>
      </w:tr>
      <w:tr w:rsidR="00754A37" w:rsidTr="00754A37">
        <w:tc>
          <w:tcPr>
            <w:tcW w:w="4606" w:type="dxa"/>
          </w:tcPr>
          <w:p w:rsidR="00754A37" w:rsidRDefault="00D54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ōs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ōris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formōsum</w:t>
            </w:r>
            <w:proofErr w:type="spellEnd"/>
          </w:p>
        </w:tc>
        <w:tc>
          <w:tcPr>
            <w:tcW w:w="4606" w:type="dxa"/>
          </w:tcPr>
          <w:p w:rsidR="00754A37" w:rsidRDefault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sličná ústa</w:t>
            </w:r>
          </w:p>
        </w:tc>
      </w:tr>
      <w:tr w:rsidR="00754A37" w:rsidTr="00754A37">
        <w:tc>
          <w:tcPr>
            <w:tcW w:w="4606" w:type="dxa"/>
          </w:tcPr>
          <w:p w:rsidR="00754A37" w:rsidRDefault="00D54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carcer</w:t>
            </w:r>
            <w:proofErr w:type="spellEnd"/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eris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angustus</w:t>
            </w:r>
            <w:proofErr w:type="spellEnd"/>
          </w:p>
        </w:tc>
        <w:tc>
          <w:tcPr>
            <w:tcW w:w="4606" w:type="dxa"/>
          </w:tcPr>
          <w:p w:rsidR="00754A37" w:rsidRDefault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těsné vězení</w:t>
            </w:r>
          </w:p>
        </w:tc>
      </w:tr>
      <w:tr w:rsidR="00754A37" w:rsidTr="00754A37">
        <w:tc>
          <w:tcPr>
            <w:tcW w:w="4606" w:type="dxa"/>
          </w:tcPr>
          <w:p w:rsidR="00754A37" w:rsidRDefault="00D54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vēr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vēris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amoenum</w:t>
            </w:r>
            <w:proofErr w:type="spellEnd"/>
          </w:p>
        </w:tc>
        <w:tc>
          <w:tcPr>
            <w:tcW w:w="4606" w:type="dxa"/>
          </w:tcPr>
          <w:p w:rsidR="00754A37" w:rsidRDefault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půvabné jaro</w:t>
            </w:r>
          </w:p>
        </w:tc>
      </w:tr>
      <w:tr w:rsidR="00D543D3" w:rsidTr="00754A37"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imbris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magnus</w:t>
            </w:r>
            <w:proofErr w:type="spellEnd"/>
          </w:p>
        </w:tc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veliký déšť</w:t>
            </w:r>
          </w:p>
        </w:tc>
      </w:tr>
      <w:tr w:rsidR="00D543D3" w:rsidTr="00754A37"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tris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parva</w:t>
            </w:r>
            <w:proofErr w:type="spellEnd"/>
          </w:p>
        </w:tc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malý člun</w:t>
            </w:r>
          </w:p>
        </w:tc>
      </w:tr>
      <w:tr w:rsidR="00D543D3" w:rsidTr="00754A37"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pariēs</w:t>
            </w:r>
            <w:proofErr w:type="spellEnd"/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altus</w:t>
            </w:r>
            <w:proofErr w:type="spellEnd"/>
          </w:p>
        </w:tc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vysoká stěna</w:t>
            </w:r>
          </w:p>
        </w:tc>
      </w:tr>
      <w:tr w:rsidR="00D543D3" w:rsidTr="00754A37"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quiēs</w:t>
            </w:r>
            <w:proofErr w:type="spellEnd"/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ētis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nocturna</w:t>
            </w:r>
            <w:proofErr w:type="spellEnd"/>
          </w:p>
        </w:tc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noční klid</w:t>
            </w:r>
          </w:p>
        </w:tc>
      </w:tr>
      <w:tr w:rsidR="00D543D3" w:rsidTr="00754A37"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urbs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urbis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clāra</w:t>
            </w:r>
            <w:proofErr w:type="spellEnd"/>
          </w:p>
        </w:tc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slavné město</w:t>
            </w:r>
          </w:p>
        </w:tc>
      </w:tr>
      <w:tr w:rsidR="00D543D3" w:rsidTr="00754A37"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fōns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fontis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frīgidus</w:t>
            </w:r>
            <w:proofErr w:type="spellEnd"/>
          </w:p>
        </w:tc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studený pramen</w:t>
            </w:r>
          </w:p>
        </w:tc>
      </w:tr>
      <w:tr w:rsidR="00D543D3" w:rsidTr="00754A37"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lēx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lēgis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iūsta</w:t>
            </w:r>
            <w:proofErr w:type="spellEnd"/>
          </w:p>
        </w:tc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spravedlivý zákon</w:t>
            </w:r>
          </w:p>
        </w:tc>
      </w:tr>
      <w:tr w:rsidR="00D543D3" w:rsidTr="00754A37"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grex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gregis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opīmus</w:t>
            </w:r>
            <w:proofErr w:type="spellEnd"/>
          </w:p>
        </w:tc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tučné stádo</w:t>
            </w:r>
          </w:p>
        </w:tc>
      </w:tr>
      <w:tr w:rsidR="00D543D3" w:rsidTr="00754A37">
        <w:tc>
          <w:tcPr>
            <w:tcW w:w="4606" w:type="dxa"/>
          </w:tcPr>
          <w:p w:rsidR="00D543D3" w:rsidRDefault="00D54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nāvis</w:t>
            </w:r>
            <w:proofErr w:type="spellEnd"/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>) longa</w:t>
            </w:r>
          </w:p>
        </w:tc>
        <w:tc>
          <w:tcPr>
            <w:tcW w:w="4606" w:type="dxa"/>
          </w:tcPr>
          <w:p w:rsidR="00D543D3" w:rsidRDefault="00D543D3" w:rsidP="00D5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válečná loď (</w:t>
            </w:r>
            <w:proofErr w:type="spellStart"/>
            <w:r>
              <w:rPr>
                <w:rFonts w:ascii="Times New Roman" w:hAnsi="Times New Roman" w:cs="Times New Roman"/>
              </w:rPr>
              <w:t>spec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termín</w:t>
            </w:r>
            <w:proofErr w:type="gramEnd"/>
            <w:r>
              <w:rPr>
                <w:rFonts w:ascii="Times New Roman" w:hAnsi="Times New Roman" w:cs="Times New Roman"/>
              </w:rPr>
              <w:t>, doslova „dlouhá“)</w:t>
            </w:r>
          </w:p>
        </w:tc>
      </w:tr>
      <w:tr w:rsidR="00D543D3" w:rsidTr="00754A37">
        <w:tc>
          <w:tcPr>
            <w:tcW w:w="4606" w:type="dxa"/>
          </w:tcPr>
          <w:p w:rsidR="00D543D3" w:rsidRDefault="00A8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piscis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marīnus</w:t>
            </w:r>
            <w:proofErr w:type="spellEnd"/>
          </w:p>
        </w:tc>
        <w:tc>
          <w:tcPr>
            <w:tcW w:w="4606" w:type="dxa"/>
          </w:tcPr>
          <w:p w:rsidR="00D543D3" w:rsidRDefault="00A8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mořská ryba</w:t>
            </w:r>
          </w:p>
        </w:tc>
      </w:tr>
      <w:tr w:rsidR="00D543D3" w:rsidTr="00754A37">
        <w:tc>
          <w:tcPr>
            <w:tcW w:w="4606" w:type="dxa"/>
          </w:tcPr>
          <w:p w:rsidR="00D543D3" w:rsidRDefault="00A8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inis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prīmum</w:t>
            </w:r>
            <w:proofErr w:type="spellEnd"/>
          </w:p>
        </w:tc>
        <w:tc>
          <w:tcPr>
            <w:tcW w:w="4606" w:type="dxa"/>
          </w:tcPr>
          <w:p w:rsidR="00D543D3" w:rsidRDefault="00A8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přední voj</w:t>
            </w:r>
          </w:p>
        </w:tc>
      </w:tr>
      <w:tr w:rsidR="00D543D3" w:rsidTr="00754A37">
        <w:tc>
          <w:tcPr>
            <w:tcW w:w="4606" w:type="dxa"/>
          </w:tcPr>
          <w:p w:rsidR="00D543D3" w:rsidRDefault="00A869B8" w:rsidP="00A8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flāmen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inis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Martiālis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06" w:type="dxa"/>
          </w:tcPr>
          <w:p w:rsidR="00D543D3" w:rsidRDefault="00A8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obětník (kněz) </w:t>
            </w:r>
            <w:proofErr w:type="spellStart"/>
            <w:r>
              <w:rPr>
                <w:rFonts w:ascii="Times New Roman" w:hAnsi="Times New Roman" w:cs="Times New Roman"/>
              </w:rPr>
              <w:t>Martův</w:t>
            </w:r>
            <w:proofErr w:type="spellEnd"/>
          </w:p>
        </w:tc>
      </w:tr>
      <w:tr w:rsidR="00A869B8" w:rsidTr="00754A37">
        <w:tc>
          <w:tcPr>
            <w:tcW w:w="4606" w:type="dxa"/>
          </w:tcPr>
          <w:p w:rsidR="00A869B8" w:rsidRDefault="00A8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fulgur</w:t>
            </w:r>
            <w:proofErr w:type="spellEnd"/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uris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lūcidum</w:t>
            </w:r>
            <w:proofErr w:type="spellEnd"/>
          </w:p>
        </w:tc>
        <w:tc>
          <w:tcPr>
            <w:tcW w:w="4606" w:type="dxa"/>
          </w:tcPr>
          <w:p w:rsidR="00A869B8" w:rsidRDefault="00A8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jasný blesk</w:t>
            </w:r>
          </w:p>
        </w:tc>
      </w:tr>
      <w:tr w:rsidR="00A869B8" w:rsidTr="00754A37">
        <w:tc>
          <w:tcPr>
            <w:tcW w:w="4606" w:type="dxa"/>
          </w:tcPr>
          <w:p w:rsidR="00A869B8" w:rsidRDefault="00A8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vultur</w:t>
            </w:r>
            <w:proofErr w:type="spellEnd"/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uris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saevus</w:t>
            </w:r>
            <w:proofErr w:type="spellEnd"/>
          </w:p>
        </w:tc>
        <w:tc>
          <w:tcPr>
            <w:tcW w:w="4606" w:type="dxa"/>
          </w:tcPr>
          <w:p w:rsidR="00A869B8" w:rsidRDefault="00A8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krutý sup</w:t>
            </w:r>
          </w:p>
        </w:tc>
      </w:tr>
      <w:tr w:rsidR="00A869B8" w:rsidTr="00754A37">
        <w:tc>
          <w:tcPr>
            <w:tcW w:w="4606" w:type="dxa"/>
          </w:tcPr>
          <w:p w:rsidR="00A869B8" w:rsidRDefault="00A8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iūs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iūris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cīvīle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06" w:type="dxa"/>
          </w:tcPr>
          <w:p w:rsidR="00A869B8" w:rsidRDefault="00A8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občanské právo</w:t>
            </w:r>
          </w:p>
        </w:tc>
      </w:tr>
      <w:tr w:rsidR="00A869B8" w:rsidTr="00754A37">
        <w:tc>
          <w:tcPr>
            <w:tcW w:w="4606" w:type="dxa"/>
          </w:tcPr>
          <w:p w:rsidR="00A869B8" w:rsidRDefault="00A8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mūs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mūris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parvus</w:t>
            </w:r>
            <w:proofErr w:type="spellEnd"/>
          </w:p>
        </w:tc>
        <w:tc>
          <w:tcPr>
            <w:tcW w:w="4606" w:type="dxa"/>
          </w:tcPr>
          <w:p w:rsidR="00A869B8" w:rsidRDefault="00A8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malá myš</w:t>
            </w:r>
          </w:p>
        </w:tc>
      </w:tr>
    </w:tbl>
    <w:p w:rsidR="00754A37" w:rsidRDefault="00754A37">
      <w:pPr>
        <w:rPr>
          <w:rFonts w:ascii="Times New Roman" w:hAnsi="Times New Roman" w:cs="Times New Roman"/>
        </w:rPr>
      </w:pPr>
    </w:p>
    <w:p w:rsidR="00A869B8" w:rsidRDefault="00A869B8" w:rsidP="00465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tabulka samozřejmě není vyčerpávající. Každé nové slůvko III. deklinace bychom si měli zapamatovávat podle této metody vždy v kontextu </w:t>
      </w:r>
      <w:r w:rsidR="004651E4">
        <w:rPr>
          <w:rFonts w:ascii="Times New Roman" w:hAnsi="Times New Roman" w:cs="Times New Roman"/>
        </w:rPr>
        <w:t xml:space="preserve">vhodného adjektiva, ideálně takového, které se k substantivu přirozeně hodí, nebo se s ním často vyskytuje. </w:t>
      </w:r>
    </w:p>
    <w:p w:rsidR="00EC30C7" w:rsidRDefault="00EC30C7" w:rsidP="00465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Například Komenského věta o zdravé mysli ve zdravém těle nám určitě není neznámá, latinsky: „</w:t>
      </w:r>
      <w:proofErr w:type="spellStart"/>
      <w:r>
        <w:rPr>
          <w:rFonts w:ascii="Times New Roman" w:hAnsi="Times New Roman" w:cs="Times New Roman"/>
        </w:rPr>
        <w:t>Mēns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sāna</w:t>
      </w:r>
      <w:proofErr w:type="spellEnd"/>
      <w:r>
        <w:rPr>
          <w:rFonts w:ascii="Times New Roman" w:hAnsi="Times New Roman" w:cs="Times New Roman"/>
        </w:rPr>
        <w:t xml:space="preserve"> in corpore </w:t>
      </w:r>
      <w:proofErr w:type="spellStart"/>
      <w:r>
        <w:rPr>
          <w:rFonts w:ascii="Times New Roman" w:hAnsi="Times New Roman" w:cs="Times New Roman"/>
        </w:rPr>
        <w:t>sānō</w:t>
      </w:r>
      <w:proofErr w:type="spellEnd"/>
      <w:r>
        <w:rPr>
          <w:rFonts w:ascii="Times New Roman" w:hAnsi="Times New Roman" w:cs="Times New Roman"/>
        </w:rPr>
        <w:t>“. Podle toho si snadno zapamatuji, že „</w:t>
      </w:r>
      <w:proofErr w:type="spellStart"/>
      <w:r>
        <w:rPr>
          <w:rFonts w:ascii="Times New Roman" w:hAnsi="Times New Roman" w:cs="Times New Roman"/>
        </w:rPr>
        <w:t>mēns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mentis</w:t>
      </w:r>
      <w:proofErr w:type="spellEnd"/>
      <w:r>
        <w:rPr>
          <w:rFonts w:ascii="Times New Roman" w:hAnsi="Times New Roman" w:cs="Times New Roman"/>
        </w:rPr>
        <w:t xml:space="preserve">)“ je femininum. </w:t>
      </w:r>
    </w:p>
    <w:p w:rsidR="00EC30C7" w:rsidRDefault="00EC30C7" w:rsidP="00465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je jen doporučení a návod založený na zkušenostech těch, kteří si tímto učením již prošli. Pokud si zvolíte jiný způsob </w:t>
      </w:r>
      <w:r w:rsidR="00D64A18">
        <w:rPr>
          <w:rFonts w:ascii="Times New Roman" w:hAnsi="Times New Roman" w:cs="Times New Roman"/>
        </w:rPr>
        <w:t>zapamatování</w:t>
      </w:r>
      <w:r>
        <w:rPr>
          <w:rFonts w:ascii="Times New Roman" w:hAnsi="Times New Roman" w:cs="Times New Roman"/>
        </w:rPr>
        <w:t xml:space="preserve"> rodu substantiv III. deklinace (např. memorování slovníkového tvaru), záleží to jen na </w:t>
      </w:r>
      <w:r w:rsidR="00D74434">
        <w:rPr>
          <w:rFonts w:ascii="Times New Roman" w:hAnsi="Times New Roman" w:cs="Times New Roman"/>
        </w:rPr>
        <w:t>vašem svobodném rozhodnutí</w:t>
      </w:r>
      <w:r w:rsidR="00D64A18">
        <w:rPr>
          <w:rFonts w:ascii="Times New Roman" w:hAnsi="Times New Roman" w:cs="Times New Roman"/>
        </w:rPr>
        <w:t>, co vám lépe vyhovuje</w:t>
      </w:r>
      <w:r w:rsidR="00D74434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D74434" w:rsidRDefault="00D74434" w:rsidP="004651E4">
      <w:pPr>
        <w:jc w:val="both"/>
        <w:rPr>
          <w:rFonts w:ascii="Times New Roman" w:hAnsi="Times New Roman" w:cs="Times New Roman"/>
        </w:rPr>
      </w:pPr>
    </w:p>
    <w:p w:rsidR="004651E4" w:rsidRPr="00754A37" w:rsidRDefault="00465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) Hvězdičkou označená adjektiva užitá v tomto přehledu se skloňují podle III. deklinace! Tam slouží k rozpoznávání rodu poněkud odlišné koncovky než u adjektiv podle I. a II. dekl. </w:t>
      </w:r>
    </w:p>
    <w:sectPr w:rsidR="004651E4" w:rsidRPr="0075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37"/>
    <w:rsid w:val="002B2715"/>
    <w:rsid w:val="004651E4"/>
    <w:rsid w:val="005F1901"/>
    <w:rsid w:val="00754A37"/>
    <w:rsid w:val="009B3445"/>
    <w:rsid w:val="00A869B8"/>
    <w:rsid w:val="00C24B99"/>
    <w:rsid w:val="00D543D3"/>
    <w:rsid w:val="00D64A18"/>
    <w:rsid w:val="00D74434"/>
    <w:rsid w:val="00E01BEF"/>
    <w:rsid w:val="00E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4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4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3</cp:revision>
  <dcterms:created xsi:type="dcterms:W3CDTF">2018-11-15T19:28:00Z</dcterms:created>
  <dcterms:modified xsi:type="dcterms:W3CDTF">2018-11-15T20:23:00Z</dcterms:modified>
</cp:coreProperties>
</file>