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dpis1"/>
        <w:spacing w:before="240" w:after="240"/>
        <w:rPr/>
      </w:pPr>
      <w:r>
        <w:rPr/>
        <w:t>Thema Promētheī in litterīs (pāgina 3)</w:t>
      </w:r>
    </w:p>
    <w:p>
      <w:pPr>
        <w:pStyle w:val="Normal"/>
        <w:spacing w:lineRule="auto" w:line="480"/>
        <w:jc w:val="both"/>
        <w:rPr>
          <w:rFonts w:ascii="Times New Roman" w:hAnsi="Times New Roman" w:cs="Times New Roman"/>
          <w:sz w:val="24"/>
          <w:szCs w:val="24"/>
        </w:rPr>
      </w:pPr>
      <w:r>
        <w:rPr>
          <w:rFonts w:cs="Times New Roman" w:ascii="Times New Roman" w:hAnsi="Times New Roman"/>
          <w:b/>
          <w:bCs/>
          <w:sz w:val="24"/>
          <w:szCs w:val="24"/>
        </w:rPr>
        <w:t>1</w:t>
      </w:r>
      <w:r>
        <w:rPr>
          <w:rFonts w:cs="Times New Roman" w:ascii="Times New Roman" w:hAnsi="Times New Roman"/>
          <w:sz w:val="24"/>
          <w:szCs w:val="24"/>
        </w:rPr>
        <w:t xml:space="preserve"> Iam Graecus poēta Hēsiodus (quī inter annōs 750. et 650.</w:t>
      </w:r>
      <w:r>
        <w:rPr>
          <w:rStyle w:val="Ukotvenpoznmkypodarou"/>
          <w:rFonts w:cs="Times New Roman" w:ascii="Times New Roman" w:hAnsi="Times New Roman"/>
          <w:sz w:val="24"/>
          <w:szCs w:val="24"/>
        </w:rPr>
        <w:footnoteReference w:id="2"/>
      </w:r>
      <w:r>
        <w:rPr>
          <w:rFonts w:cs="Times New Roman" w:ascii="Times New Roman" w:hAnsi="Times New Roman"/>
          <w:sz w:val="24"/>
          <w:szCs w:val="24"/>
        </w:rPr>
        <w:t xml:space="preserve"> a. Chr. n. vīxit) prīmam fābulam antīquam dē Promētheō in carmine suō „Theogoniā“ nōtāvit. Hēsiodus in Theogoniā orīginem et geneālogiam deōrum Graecōrum tractat. In aliō carmine „Opera et diēs“ ad Promētheī fābulam novās cōgnitiōnēs addit – </w:t>
      </w:r>
    </w:p>
    <w:p>
      <w:pPr>
        <w:pStyle w:val="Normal"/>
        <w:spacing w:lineRule="auto" w:line="480"/>
        <w:jc w:val="both"/>
        <w:rPr>
          <w:rFonts w:ascii="Times New Roman" w:hAnsi="Times New Roman" w:cs="Times New Roman"/>
          <w:sz w:val="24"/>
          <w:szCs w:val="24"/>
        </w:rPr>
      </w:pPr>
      <w:r>
        <w:rPr>
          <w:rFonts w:cs="Times New Roman" w:ascii="Times New Roman" w:hAnsi="Times New Roman"/>
          <w:i w:val="false"/>
          <w:iCs w:val="false"/>
          <w:sz w:val="24"/>
          <w:szCs w:val="24"/>
          <w:shd w:fill="FFFFD7" w:val="clear"/>
        </w:rPr>
        <w:t>Iuppiter poenae causā hominibus nōn sōlum ignem, sed etiam cūrā vacuae vītae īnstrūmenta dēmit atque Pandōrae arcānam aulam mittit</w:t>
      </w:r>
      <w:r>
        <w:rPr>
          <w:rFonts w:cs="Times New Roman" w:ascii="Times New Roman" w:hAnsi="Times New Roman"/>
          <w:sz w:val="24"/>
          <w:szCs w:val="24"/>
        </w:rPr>
        <w:t xml:space="preserve">. </w:t>
      </w:r>
    </w:p>
    <w:p>
      <w:pPr>
        <w:pStyle w:val="Normal"/>
        <w:spacing w:lineRule="auto" w:line="480"/>
        <w:jc w:val="both"/>
        <w:rPr>
          <w:i/>
          <w:i/>
          <w:iCs/>
        </w:rPr>
      </w:pPr>
      <w:r>
        <w:rPr>
          <w:rFonts w:cs="Times New Roman" w:ascii="Times New Roman" w:hAnsi="Times New Roman"/>
          <w:i/>
          <w:iCs/>
          <w:sz w:val="24"/>
          <w:szCs w:val="24"/>
          <w:u w:val="single"/>
        </w:rPr>
        <w:t>Subiectiō verbōrum</w:t>
      </w:r>
      <w:r>
        <w:rPr>
          <w:rFonts w:cs="Times New Roman" w:ascii="Times New Roman" w:hAnsi="Times New Roman"/>
          <w:i/>
          <w:iCs/>
          <w:sz w:val="24"/>
          <w:szCs w:val="24"/>
        </w:rPr>
        <w:t xml:space="preserve">: Iuppiter hominēs </w:t>
      </w:r>
      <w:r>
        <w:rPr>
          <w:rFonts w:cs="Times New Roman" w:ascii="Times New Roman" w:hAnsi="Times New Roman"/>
          <w:i/>
          <w:iCs/>
          <w:sz w:val="24"/>
          <w:szCs w:val="24"/>
          <w:shd w:fill="E8F2A1" w:val="clear"/>
        </w:rPr>
        <w:t>afficit poenā</w:t>
      </w:r>
      <w:r>
        <w:rPr>
          <w:rFonts w:cs="Times New Roman" w:ascii="Times New Roman" w:hAnsi="Times New Roman"/>
          <w:i/>
          <w:iCs/>
          <w:sz w:val="24"/>
          <w:szCs w:val="24"/>
        </w:rPr>
        <w:t xml:space="preserve"> (</w:t>
      </w:r>
      <w:r>
        <w:rPr>
          <w:rFonts w:cs="Times New Roman" w:ascii="Times New Roman" w:hAnsi="Times New Roman"/>
          <w:i/>
          <w:iCs/>
          <w:sz w:val="24"/>
          <w:szCs w:val="24"/>
          <w:shd w:fill="E8F2A1" w:val="clear"/>
        </w:rPr>
        <w:t>trestá</w:t>
      </w:r>
      <w:r>
        <w:rPr>
          <w:rFonts w:cs="Times New Roman" w:ascii="Times New Roman" w:hAnsi="Times New Roman"/>
          <w:i/>
          <w:iCs/>
          <w:sz w:val="24"/>
          <w:szCs w:val="24"/>
        </w:rPr>
        <w:t xml:space="preserve">) </w:t>
      </w:r>
      <w:r>
        <w:rPr>
          <w:rFonts w:cs="Times New Roman" w:ascii="Times New Roman" w:hAnsi="Times New Roman"/>
          <w:i/>
          <w:iCs/>
          <w:sz w:val="24"/>
          <w:szCs w:val="24"/>
          <w:shd w:fill="FFDBB6" w:val="clear"/>
        </w:rPr>
        <w:t>adēmptiōne</w:t>
      </w:r>
      <w:r>
        <w:rPr>
          <w:rFonts w:cs="Times New Roman" w:ascii="Times New Roman" w:hAnsi="Times New Roman"/>
          <w:i/>
          <w:iCs/>
          <w:sz w:val="24"/>
          <w:szCs w:val="24"/>
        </w:rPr>
        <w:t xml:space="preserve"> (</w:t>
      </w:r>
      <w:r>
        <w:rPr>
          <w:rFonts w:cs="Times New Roman" w:ascii="Times New Roman" w:hAnsi="Times New Roman"/>
          <w:i/>
          <w:iCs/>
          <w:sz w:val="24"/>
          <w:szCs w:val="24"/>
          <w:shd w:fill="FFDBB6" w:val="clear"/>
        </w:rPr>
        <w:t>odebráním</w:t>
      </w:r>
      <w:r>
        <w:rPr>
          <w:rFonts w:cs="Times New Roman" w:ascii="Times New Roman" w:hAnsi="Times New Roman"/>
          <w:i/>
          <w:iCs/>
          <w:sz w:val="24"/>
          <w:szCs w:val="24"/>
        </w:rPr>
        <w:t xml:space="preserve">) ignis. (Iam nōvimus = To už víme.) Secundum Hēsiodum </w:t>
      </w:r>
      <w:r>
        <w:rPr>
          <w:rFonts w:cs="Times New Roman" w:ascii="Times New Roman" w:hAnsi="Times New Roman"/>
          <w:i/>
          <w:iCs/>
          <w:sz w:val="24"/>
          <w:szCs w:val="24"/>
          <w:shd w:fill="DEE7E5" w:val="clear"/>
        </w:rPr>
        <w:t>praetereā</w:t>
      </w:r>
      <w:r>
        <w:rPr>
          <w:rFonts w:cs="Times New Roman" w:ascii="Times New Roman" w:hAnsi="Times New Roman"/>
          <w:i/>
          <w:iCs/>
          <w:sz w:val="24"/>
          <w:szCs w:val="24"/>
        </w:rPr>
        <w:t xml:space="preserve"> (</w:t>
      </w:r>
      <w:r>
        <w:rPr>
          <w:rFonts w:cs="Times New Roman" w:ascii="Times New Roman" w:hAnsi="Times New Roman"/>
          <w:i/>
          <w:iCs/>
          <w:sz w:val="24"/>
          <w:szCs w:val="24"/>
          <w:shd w:fill="DEE7E5" w:val="clear"/>
        </w:rPr>
        <w:t>kromě toho</w:t>
      </w:r>
      <w:r>
        <w:rPr>
          <w:rFonts w:cs="Times New Roman" w:ascii="Times New Roman" w:hAnsi="Times New Roman"/>
          <w:i/>
          <w:iCs/>
          <w:sz w:val="24"/>
          <w:szCs w:val="24"/>
        </w:rPr>
        <w:t xml:space="preserve">) Iuppiter </w:t>
      </w:r>
      <w:r>
        <w:rPr>
          <w:rFonts w:cs="Times New Roman" w:ascii="Times New Roman" w:hAnsi="Times New Roman"/>
          <w:i/>
          <w:iCs/>
          <w:sz w:val="24"/>
          <w:szCs w:val="24"/>
          <w:shd w:fill="FFD7D7" w:val="clear"/>
        </w:rPr>
        <w:t>adimit</w:t>
      </w:r>
      <w:r>
        <w:rPr>
          <w:rFonts w:cs="Times New Roman" w:ascii="Times New Roman" w:hAnsi="Times New Roman"/>
          <w:i/>
          <w:iCs/>
          <w:sz w:val="24"/>
          <w:szCs w:val="24"/>
        </w:rPr>
        <w:t xml:space="preserve"> (</w:t>
      </w:r>
      <w:r>
        <w:rPr>
          <w:rFonts w:cs="Times New Roman" w:ascii="Times New Roman" w:hAnsi="Times New Roman"/>
          <w:i/>
          <w:iCs/>
          <w:sz w:val="24"/>
          <w:szCs w:val="24"/>
          <w:shd w:fill="FFD7D7" w:val="clear"/>
        </w:rPr>
        <w:t>bere, odnímá</w:t>
      </w:r>
      <w:r>
        <w:rPr>
          <w:rFonts w:cs="Times New Roman" w:ascii="Times New Roman" w:hAnsi="Times New Roman"/>
          <w:i/>
          <w:iCs/>
          <w:sz w:val="24"/>
          <w:szCs w:val="24"/>
        </w:rPr>
        <w:t xml:space="preserve">) hominibus īnstrūmenta, </w:t>
      </w:r>
      <w:r>
        <w:rPr>
          <w:rFonts w:cs="Times New Roman" w:ascii="Times New Roman" w:hAnsi="Times New Roman"/>
          <w:i/>
          <w:iCs/>
          <w:sz w:val="24"/>
          <w:szCs w:val="24"/>
          <w:shd w:fill="DEDCE6" w:val="clear"/>
        </w:rPr>
        <w:t>quae</w:t>
      </w:r>
      <w:r>
        <w:rPr>
          <w:rFonts w:cs="Times New Roman" w:ascii="Times New Roman" w:hAnsi="Times New Roman"/>
          <w:i/>
          <w:iCs/>
          <w:sz w:val="24"/>
          <w:szCs w:val="24"/>
        </w:rPr>
        <w:t xml:space="preserve"> (</w:t>
      </w:r>
      <w:r>
        <w:rPr>
          <w:rFonts w:cs="Times New Roman" w:ascii="Times New Roman" w:hAnsi="Times New Roman"/>
          <w:i/>
          <w:iCs/>
          <w:sz w:val="24"/>
          <w:szCs w:val="24"/>
          <w:shd w:fill="DEDCE6" w:val="clear"/>
        </w:rPr>
        <w:t>které</w:t>
      </w:r>
      <w:r>
        <w:rPr>
          <w:rFonts w:cs="Times New Roman" w:ascii="Times New Roman" w:hAnsi="Times New Roman"/>
          <w:i/>
          <w:iCs/>
          <w:sz w:val="24"/>
          <w:szCs w:val="24"/>
        </w:rPr>
        <w:t xml:space="preserve">) </w:t>
      </w:r>
      <w:r>
        <w:rPr>
          <w:rFonts w:cs="Times New Roman" w:ascii="Times New Roman" w:hAnsi="Times New Roman"/>
          <w:i/>
          <w:iCs/>
          <w:sz w:val="24"/>
          <w:szCs w:val="24"/>
          <w:shd w:fill="FFF5CE" w:val="clear"/>
        </w:rPr>
        <w:t>hominēs adiūvābant</w:t>
      </w:r>
      <w:r>
        <w:rPr>
          <w:rFonts w:cs="Times New Roman" w:ascii="Times New Roman" w:hAnsi="Times New Roman"/>
          <w:i/>
          <w:iCs/>
          <w:sz w:val="24"/>
          <w:szCs w:val="24"/>
        </w:rPr>
        <w:t xml:space="preserve"> (</w:t>
      </w:r>
      <w:r>
        <w:rPr>
          <w:rFonts w:cs="Times New Roman" w:ascii="Times New Roman" w:hAnsi="Times New Roman"/>
          <w:i/>
          <w:iCs/>
          <w:sz w:val="24"/>
          <w:szCs w:val="24"/>
          <w:shd w:fill="FFF5CE" w:val="clear"/>
        </w:rPr>
        <w:t>pomáhaly lidem</w:t>
      </w:r>
      <w:r>
        <w:rPr>
          <w:rFonts w:cs="Times New Roman" w:ascii="Times New Roman" w:hAnsi="Times New Roman"/>
          <w:i/>
          <w:iCs/>
          <w:sz w:val="24"/>
          <w:szCs w:val="24"/>
        </w:rPr>
        <w:t xml:space="preserve">) ad sēcūram vītam, et dat hominibus aulam Pandōrae. </w:t>
      </w:r>
    </w:p>
    <w:p>
      <w:pPr>
        <w:pStyle w:val="Pozn"/>
        <w:rPr>
          <w:sz w:val="22"/>
          <w:szCs w:val="22"/>
        </w:rPr>
      </w:pPr>
      <w:r>
        <w:rPr>
          <w:rFonts w:cs="Times New Roman"/>
          <w:i/>
          <w:iCs/>
          <w:sz w:val="22"/>
          <w:szCs w:val="22"/>
        </w:rPr>
        <w:t xml:space="preserve">Vīvō, ere, vīxī, </w:t>
      </w:r>
      <w:r>
        <w:rPr>
          <w:rFonts w:cs="Times New Roman"/>
          <w:sz w:val="22"/>
          <w:szCs w:val="22"/>
        </w:rPr>
        <w:t xml:space="preserve">–, – žít; </w:t>
      </w:r>
      <w:r>
        <w:rPr>
          <w:rFonts w:cs="Times New Roman"/>
          <w:i/>
          <w:iCs/>
          <w:sz w:val="22"/>
          <w:szCs w:val="22"/>
        </w:rPr>
        <w:t>fābula antīqua</w:t>
      </w:r>
      <w:r>
        <w:rPr>
          <w:rFonts w:cs="Times New Roman"/>
          <w:sz w:val="22"/>
          <w:szCs w:val="22"/>
        </w:rPr>
        <w:t xml:space="preserve"> – ZDE: mýtus; </w:t>
      </w:r>
      <w:r>
        <w:rPr>
          <w:rFonts w:cs="Times New Roman"/>
          <w:i/>
          <w:iCs/>
          <w:sz w:val="22"/>
          <w:szCs w:val="22"/>
        </w:rPr>
        <w:t>nōtāre (1)</w:t>
      </w:r>
      <w:r>
        <w:rPr>
          <w:rFonts w:cs="Times New Roman"/>
          <w:sz w:val="22"/>
          <w:szCs w:val="22"/>
        </w:rPr>
        <w:t xml:space="preserve"> – ZDE: zaznamenat, napsat; </w:t>
      </w:r>
      <w:r>
        <w:rPr>
          <w:rFonts w:cs="Times New Roman"/>
          <w:i/>
          <w:iCs/>
          <w:sz w:val="22"/>
          <w:szCs w:val="22"/>
        </w:rPr>
        <w:t>Theogonia, ae, f</w:t>
      </w:r>
      <w:r>
        <w:rPr>
          <w:rFonts w:cs="Times New Roman"/>
          <w:sz w:val="22"/>
          <w:szCs w:val="22"/>
        </w:rPr>
        <w:t xml:space="preserve">. – Theogonie, „O původu bohů“, název Hésiodova díla; </w:t>
      </w:r>
      <w:r>
        <w:rPr>
          <w:rFonts w:cs="Times New Roman"/>
          <w:i/>
          <w:iCs/>
          <w:sz w:val="22"/>
          <w:szCs w:val="22"/>
        </w:rPr>
        <w:t>geneālogia, ae, f</w:t>
      </w:r>
      <w:r>
        <w:rPr>
          <w:rFonts w:cs="Times New Roman"/>
          <w:sz w:val="22"/>
          <w:szCs w:val="22"/>
        </w:rPr>
        <w:t xml:space="preserve">. – genealogie (=zkoumání vztahů a rodového původu); </w:t>
      </w:r>
      <w:r>
        <w:rPr>
          <w:rFonts w:cs="Times New Roman"/>
          <w:i/>
          <w:iCs/>
          <w:sz w:val="22"/>
          <w:szCs w:val="22"/>
        </w:rPr>
        <w:t>tractāre (1)</w:t>
      </w:r>
      <w:r>
        <w:rPr>
          <w:rFonts w:cs="Times New Roman"/>
          <w:sz w:val="22"/>
          <w:szCs w:val="22"/>
        </w:rPr>
        <w:t xml:space="preserve"> – pojednávat (o čem? +AK.); </w:t>
      </w:r>
      <w:r>
        <w:rPr>
          <w:rFonts w:cs="Times New Roman"/>
          <w:i/>
          <w:iCs/>
          <w:sz w:val="22"/>
          <w:szCs w:val="22"/>
        </w:rPr>
        <w:t>diēs</w:t>
      </w:r>
      <w:r>
        <w:rPr>
          <w:rFonts w:cs="Times New Roman"/>
          <w:sz w:val="22"/>
          <w:szCs w:val="22"/>
        </w:rPr>
        <w:t xml:space="preserve"> (5. dekl.) – dny; </w:t>
      </w:r>
      <w:r>
        <w:rPr>
          <w:rFonts w:cs="Times New Roman"/>
          <w:i/>
          <w:iCs/>
          <w:sz w:val="22"/>
          <w:szCs w:val="22"/>
        </w:rPr>
        <w:t>cūrā vacuus</w:t>
      </w:r>
      <w:r>
        <w:rPr>
          <w:rFonts w:cs="Times New Roman"/>
          <w:sz w:val="22"/>
          <w:szCs w:val="22"/>
        </w:rPr>
        <w:t xml:space="preserve"> – bezstarostný, bezúdržbový; </w:t>
      </w:r>
    </w:p>
    <w:p>
      <w:pPr>
        <w:pStyle w:val="Pozn"/>
        <w:spacing w:lineRule="auto" w:line="480"/>
        <w:jc w:val="both"/>
        <w:rPr>
          <w:rFonts w:ascii="Times New Roman" w:hAnsi="Times New Roman" w:cs="Times New Roman"/>
          <w:sz w:val="24"/>
          <w:szCs w:val="24"/>
        </w:rPr>
      </w:pPr>
      <w:r>
        <w:rPr>
          <w:rFonts w:cs="Times New Roman"/>
          <w:sz w:val="24"/>
          <w:szCs w:val="24"/>
        </w:rPr>
      </w:r>
    </w:p>
    <w:p>
      <w:pPr>
        <w:pStyle w:val="Normal"/>
        <w:spacing w:lineRule="auto" w:line="480"/>
        <w:jc w:val="both"/>
        <w:rPr>
          <w:rFonts w:ascii="Times New Roman" w:hAnsi="Times New Roman" w:cs="Times New Roman"/>
          <w:sz w:val="24"/>
          <w:szCs w:val="24"/>
        </w:rPr>
      </w:pPr>
      <w:r>
        <w:rPr>
          <w:rFonts w:cs="Times New Roman" w:ascii="Times New Roman" w:hAnsi="Times New Roman"/>
          <w:b/>
          <w:bCs/>
          <w:sz w:val="24"/>
          <w:szCs w:val="24"/>
        </w:rPr>
        <w:t>2</w:t>
      </w:r>
      <w:r>
        <w:rPr>
          <w:rFonts w:cs="Times New Roman" w:ascii="Times New Roman" w:hAnsi="Times New Roman"/>
          <w:sz w:val="24"/>
          <w:szCs w:val="24"/>
        </w:rPr>
        <w:t xml:space="preserve"> Aeschylus ē fābulā dē Promētheō argūmentum tragoediae suae dūxit – titulus Aeschylī operis „Promētheus vinctus“ est. </w:t>
      </w:r>
    </w:p>
    <w:p>
      <w:pPr>
        <w:pStyle w:val="Normal"/>
        <w:spacing w:lineRule="auto" w:line="480"/>
        <w:jc w:val="both"/>
        <w:rPr>
          <w:rFonts w:ascii="Times New Roman" w:hAnsi="Times New Roman" w:cs="Times New Roman"/>
          <w:sz w:val="24"/>
          <w:szCs w:val="24"/>
        </w:rPr>
      </w:pPr>
      <w:r>
        <w:rPr>
          <w:rFonts w:cs="Times New Roman" w:ascii="Times New Roman" w:hAnsi="Times New Roman"/>
          <w:sz w:val="24"/>
          <w:szCs w:val="24"/>
          <w:shd w:fill="FFFFD7" w:val="clear"/>
        </w:rPr>
        <w:t>Quamquam Aeschylī Promētheus aliquandō māgnoperē Iovem et aliōs deōs in proeliō cum Tītānīs (Tītānomachiā) adiūverat, tamen dominus deōrum creātōrem et adiūtōrem hominum prōdidit et horrificē torquēbat</w:t>
      </w:r>
      <w:r>
        <w:rPr>
          <w:rFonts w:cs="Times New Roman" w:ascii="Times New Roman" w:hAnsi="Times New Roman"/>
          <w:sz w:val="24"/>
          <w:szCs w:val="24"/>
        </w:rPr>
        <w:t xml:space="preserve">. </w:t>
      </w:r>
    </w:p>
    <w:p>
      <w:pPr>
        <w:pStyle w:val="Normal"/>
        <w:spacing w:lineRule="auto" w:line="480"/>
        <w:jc w:val="both"/>
        <w:rPr>
          <w:i/>
          <w:i/>
          <w:iCs/>
        </w:rPr>
      </w:pPr>
      <w:r>
        <w:rPr>
          <w:rFonts w:cs="Times New Roman" w:ascii="Times New Roman" w:hAnsi="Times New Roman"/>
          <w:i/>
          <w:iCs/>
          <w:sz w:val="24"/>
          <w:szCs w:val="24"/>
          <w:u w:val="single"/>
        </w:rPr>
        <w:t>Subiectiō verbōrum</w:t>
      </w:r>
      <w:r>
        <w:rPr>
          <w:rFonts w:cs="Times New Roman" w:ascii="Times New Roman" w:hAnsi="Times New Roman"/>
          <w:i/>
          <w:iCs/>
          <w:sz w:val="24"/>
          <w:szCs w:val="24"/>
        </w:rPr>
        <w:t xml:space="preserve">: Quamquam Promētheus fuit ē genere Tītānōrum, tamen in proeliō deōrum cum Tītānīs </w:t>
      </w:r>
      <w:r>
        <w:rPr>
          <w:rFonts w:cs="Times New Roman" w:ascii="Times New Roman" w:hAnsi="Times New Roman"/>
          <w:i/>
          <w:iCs/>
          <w:sz w:val="24"/>
          <w:szCs w:val="24"/>
          <w:shd w:fill="DDE8CB" w:val="clear"/>
        </w:rPr>
        <w:t>succurrit Olympēnīs</w:t>
      </w:r>
      <w:r>
        <w:rPr>
          <w:rFonts w:cs="Times New Roman" w:ascii="Times New Roman" w:hAnsi="Times New Roman"/>
          <w:i/>
          <w:iCs/>
          <w:sz w:val="24"/>
          <w:szCs w:val="24"/>
        </w:rPr>
        <w:t xml:space="preserve"> (</w:t>
      </w:r>
      <w:r>
        <w:rPr>
          <w:rFonts w:cs="Times New Roman" w:ascii="Times New Roman" w:hAnsi="Times New Roman"/>
          <w:i/>
          <w:iCs/>
          <w:sz w:val="24"/>
          <w:szCs w:val="24"/>
          <w:shd w:fill="DDE8CB" w:val="clear"/>
        </w:rPr>
        <w:t>pomohl Olympanům</w:t>
      </w:r>
      <w:r>
        <w:rPr>
          <w:rFonts w:cs="Times New Roman" w:ascii="Times New Roman" w:hAnsi="Times New Roman"/>
          <w:i/>
          <w:iCs/>
          <w:sz w:val="24"/>
          <w:szCs w:val="24"/>
        </w:rPr>
        <w:t xml:space="preserve">). Sed Iuppiter </w:t>
      </w:r>
      <w:r>
        <w:rPr>
          <w:rFonts w:cs="Times New Roman" w:ascii="Times New Roman" w:hAnsi="Times New Roman"/>
          <w:i/>
          <w:iCs/>
          <w:sz w:val="24"/>
          <w:szCs w:val="24"/>
          <w:shd w:fill="FFDBB6" w:val="clear"/>
        </w:rPr>
        <w:t>oblīviōnī dedit</w:t>
      </w:r>
      <w:r>
        <w:rPr>
          <w:rFonts w:cs="Times New Roman" w:ascii="Times New Roman" w:hAnsi="Times New Roman"/>
          <w:i/>
          <w:iCs/>
          <w:sz w:val="24"/>
          <w:szCs w:val="24"/>
        </w:rPr>
        <w:t xml:space="preserve"> (</w:t>
      </w:r>
      <w:r>
        <w:rPr>
          <w:rFonts w:cs="Times New Roman" w:ascii="Times New Roman" w:hAnsi="Times New Roman"/>
          <w:i/>
          <w:iCs/>
          <w:sz w:val="24"/>
          <w:szCs w:val="24"/>
          <w:shd w:fill="FFDBB6" w:val="clear"/>
        </w:rPr>
        <w:t>zapomenul na</w:t>
      </w:r>
      <w:r>
        <w:rPr>
          <w:rFonts w:cs="Times New Roman" w:ascii="Times New Roman" w:hAnsi="Times New Roman"/>
          <w:i/>
          <w:iCs/>
          <w:sz w:val="24"/>
          <w:szCs w:val="24"/>
        </w:rPr>
        <w:t xml:space="preserve">) auxilium Promētheī, </w:t>
      </w:r>
      <w:r>
        <w:rPr>
          <w:rFonts w:cs="Times New Roman" w:ascii="Times New Roman" w:hAnsi="Times New Roman"/>
          <w:i/>
          <w:iCs/>
          <w:sz w:val="24"/>
          <w:szCs w:val="24"/>
          <w:shd w:fill="DEDCE6" w:val="clear"/>
        </w:rPr>
        <w:t>postquam</w:t>
      </w:r>
      <w:r>
        <w:rPr>
          <w:rFonts w:cs="Times New Roman" w:ascii="Times New Roman" w:hAnsi="Times New Roman"/>
          <w:i/>
          <w:iCs/>
          <w:sz w:val="24"/>
          <w:szCs w:val="24"/>
        </w:rPr>
        <w:t xml:space="preserve"> (</w:t>
      </w:r>
      <w:r>
        <w:rPr>
          <w:rFonts w:cs="Times New Roman" w:ascii="Times New Roman" w:hAnsi="Times New Roman"/>
          <w:i/>
          <w:iCs/>
          <w:sz w:val="24"/>
          <w:szCs w:val="24"/>
          <w:shd w:fill="DEDCE6" w:val="clear"/>
        </w:rPr>
        <w:t>když</w:t>
      </w:r>
      <w:r>
        <w:rPr>
          <w:rFonts w:cs="Times New Roman" w:ascii="Times New Roman" w:hAnsi="Times New Roman"/>
          <w:i/>
          <w:iCs/>
          <w:sz w:val="24"/>
          <w:szCs w:val="24"/>
        </w:rPr>
        <w:t xml:space="preserve">) Promētheus hominēs creāverat et cūrāverat. Propter </w:t>
      </w:r>
      <w:r>
        <w:rPr>
          <w:rFonts w:cs="Times New Roman" w:ascii="Times New Roman" w:hAnsi="Times New Roman"/>
          <w:i/>
          <w:iCs/>
          <w:sz w:val="24"/>
          <w:szCs w:val="24"/>
          <w:shd w:fill="E0C2CD" w:val="clear"/>
        </w:rPr>
        <w:t>amōrem hominum</w:t>
      </w:r>
      <w:r>
        <w:rPr>
          <w:rFonts w:cs="Times New Roman" w:ascii="Times New Roman" w:hAnsi="Times New Roman"/>
          <w:i/>
          <w:iCs/>
          <w:sz w:val="24"/>
          <w:szCs w:val="24"/>
        </w:rPr>
        <w:t xml:space="preserve"> (</w:t>
      </w:r>
      <w:r>
        <w:rPr>
          <w:rFonts w:cs="Times New Roman" w:ascii="Times New Roman" w:hAnsi="Times New Roman"/>
          <w:i/>
          <w:iCs/>
          <w:sz w:val="24"/>
          <w:szCs w:val="24"/>
          <w:shd w:fill="E0C2CD" w:val="clear"/>
        </w:rPr>
        <w:t>lásce k lidem</w:t>
      </w:r>
      <w:r>
        <w:rPr>
          <w:rFonts w:cs="Times New Roman" w:ascii="Times New Roman" w:hAnsi="Times New Roman"/>
          <w:i/>
          <w:iCs/>
          <w:sz w:val="24"/>
          <w:szCs w:val="24"/>
        </w:rPr>
        <w:t xml:space="preserve">) Promētheus apud Iovem </w:t>
      </w:r>
      <w:r>
        <w:rPr>
          <w:rFonts w:cs="Times New Roman" w:ascii="Times New Roman" w:hAnsi="Times New Roman"/>
          <w:i/>
          <w:iCs/>
          <w:sz w:val="24"/>
          <w:szCs w:val="24"/>
          <w:shd w:fill="FFD7D7" w:val="clear"/>
        </w:rPr>
        <w:t>incidit in odium</w:t>
      </w:r>
      <w:r>
        <w:rPr>
          <w:rFonts w:cs="Times New Roman" w:ascii="Times New Roman" w:hAnsi="Times New Roman"/>
          <w:i/>
          <w:iCs/>
          <w:sz w:val="24"/>
          <w:szCs w:val="24"/>
        </w:rPr>
        <w:t xml:space="preserve"> (</w:t>
      </w:r>
      <w:r>
        <w:rPr>
          <w:rFonts w:cs="Times New Roman" w:ascii="Times New Roman" w:hAnsi="Times New Roman"/>
          <w:i/>
          <w:iCs/>
          <w:sz w:val="24"/>
          <w:szCs w:val="24"/>
          <w:shd w:fill="FFD7D7" w:val="clear"/>
        </w:rPr>
        <w:t>upadl v nemilost</w:t>
      </w:r>
      <w:r>
        <w:rPr>
          <w:rFonts w:cs="Times New Roman" w:ascii="Times New Roman" w:hAnsi="Times New Roman"/>
          <w:i/>
          <w:iCs/>
          <w:sz w:val="24"/>
          <w:szCs w:val="24"/>
        </w:rPr>
        <w:t xml:space="preserve">). </w:t>
      </w:r>
    </w:p>
    <w:p>
      <w:pPr>
        <w:pStyle w:val="Normal"/>
        <w:spacing w:lineRule="auto" w:line="480"/>
        <w:jc w:val="both"/>
        <w:rPr>
          <w:rFonts w:ascii="Times New Roman" w:hAnsi="Times New Roman" w:cs="Times New Roman"/>
          <w:sz w:val="24"/>
          <w:szCs w:val="24"/>
        </w:rPr>
      </w:pPr>
      <w:r>
        <w:rPr>
          <w:rFonts w:cs="Times New Roman" w:ascii="Times New Roman" w:hAnsi="Times New Roman"/>
          <w:sz w:val="24"/>
          <w:szCs w:val="24"/>
        </w:rPr>
        <w:t xml:space="preserve">In Aeschylī tragoediā Promētheus hominēs etiam artem scrīptōriam, mathēmaticam, agricultūram, medicīnam scientiāsque docuit. </w:t>
      </w:r>
    </w:p>
    <w:p>
      <w:pPr>
        <w:pStyle w:val="Pozn"/>
        <w:rPr/>
      </w:pPr>
      <w:r>
        <w:rPr>
          <w:rFonts w:cs="Times New Roman"/>
          <w:i/>
          <w:iCs/>
          <w:sz w:val="22"/>
          <w:szCs w:val="22"/>
        </w:rPr>
        <w:t>argūmentum dūcere</w:t>
      </w:r>
      <w:r>
        <w:rPr>
          <w:rFonts w:cs="Times New Roman"/>
          <w:sz w:val="22"/>
          <w:szCs w:val="22"/>
        </w:rPr>
        <w:t xml:space="preserve"> – čerpat námět; </w:t>
      </w:r>
      <w:r>
        <w:rPr>
          <w:rFonts w:cs="Times New Roman"/>
          <w:i/>
          <w:iCs/>
          <w:sz w:val="22"/>
          <w:szCs w:val="22"/>
        </w:rPr>
        <w:t>vinctus, a, um</w:t>
      </w:r>
      <w:r>
        <w:rPr>
          <w:rFonts w:cs="Times New Roman"/>
          <w:sz w:val="22"/>
          <w:szCs w:val="22"/>
        </w:rPr>
        <w:t xml:space="preserve"> – spoutaný; </w:t>
      </w:r>
      <w:r>
        <w:rPr>
          <w:rFonts w:cs="Times New Roman"/>
          <w:i/>
          <w:iCs/>
          <w:sz w:val="22"/>
          <w:szCs w:val="22"/>
        </w:rPr>
        <w:t>māgnoperē</w:t>
      </w:r>
      <w:r>
        <w:rPr>
          <w:rFonts w:cs="Times New Roman"/>
          <w:sz w:val="22"/>
          <w:szCs w:val="22"/>
        </w:rPr>
        <w:t xml:space="preserve"> (adv.) – velmi; </w:t>
      </w:r>
      <w:r>
        <w:rPr>
          <w:rFonts w:cs="Times New Roman"/>
          <w:i/>
          <w:iCs/>
          <w:sz w:val="22"/>
          <w:szCs w:val="22"/>
        </w:rPr>
        <w:t>Tītānomachia, ae, f</w:t>
      </w:r>
      <w:r>
        <w:rPr>
          <w:rFonts w:cs="Times New Roman"/>
          <w:sz w:val="22"/>
          <w:szCs w:val="22"/>
        </w:rPr>
        <w:t xml:space="preserve">. – Titánomachie, boj bohů s Titány; </w:t>
      </w:r>
      <w:r>
        <w:rPr>
          <w:rFonts w:cs="Times New Roman"/>
          <w:i/>
          <w:iCs/>
          <w:sz w:val="22"/>
          <w:szCs w:val="22"/>
        </w:rPr>
        <w:t>horrificē</w:t>
      </w:r>
      <w:r>
        <w:rPr>
          <w:rFonts w:cs="Times New Roman"/>
          <w:sz w:val="22"/>
          <w:szCs w:val="22"/>
        </w:rPr>
        <w:t xml:space="preserve"> (adv.) – strašlivě; </w:t>
      </w:r>
      <w:r>
        <w:rPr>
          <w:rFonts w:cs="Times New Roman"/>
          <w:i/>
          <w:iCs/>
          <w:sz w:val="22"/>
          <w:szCs w:val="22"/>
        </w:rPr>
        <w:t>ars scrīptōria</w:t>
      </w:r>
      <w:r>
        <w:rPr>
          <w:rFonts w:cs="Times New Roman"/>
          <w:sz w:val="22"/>
          <w:szCs w:val="22"/>
        </w:rPr>
        <w:t xml:space="preserve"> – (znalost) psaní, umění psát; </w:t>
      </w:r>
    </w:p>
    <w:p>
      <w:pPr>
        <w:pStyle w:val="Zklodst"/>
        <w:spacing w:lineRule="auto" w:line="480"/>
        <w:rPr/>
      </w:pPr>
      <w:r>
        <w:rPr>
          <w:b/>
          <w:bCs/>
        </w:rPr>
        <w:t>3</w:t>
      </w:r>
      <w:r>
        <w:rPr/>
        <w:t xml:space="preserve"> Animadversiōne nostrā digna est Platōnis perceptiō Promētheī in dialogō „Prōtagorās“. Postquam deī hominēs aliaque animālia ex lutō et ignī formāverant, Promētheus cum frātre Epimētheō persōnīs creātīs variās nātūrās dōnābant. Quia Epimētheus stultus erat, dōna nātūrae animālibus dedit, sed hominēs nūdōs et armīs exūtōs relīquit. Inde Promētheus deīs ignem sollertiae subdūxit et hominibus dedit. In Platōnis philosophiā sollertia („techna“) appetītiōnem nātūrae („physim“) praevalet. </w:t>
      </w:r>
    </w:p>
    <w:p>
      <w:pPr>
        <w:pStyle w:val="Normal"/>
        <w:spacing w:lineRule="auto" w:line="480"/>
        <w:jc w:val="both"/>
        <w:rPr>
          <w:i/>
          <w:i/>
          <w:iCs/>
        </w:rPr>
      </w:pPr>
      <w:r>
        <w:rPr>
          <w:rFonts w:cs="Times New Roman" w:ascii="Times New Roman" w:hAnsi="Times New Roman"/>
          <w:i/>
          <w:iCs/>
          <w:sz w:val="24"/>
          <w:szCs w:val="24"/>
          <w:u w:val="single"/>
        </w:rPr>
        <w:t>Explicātiō orīginis Promētheī nōminis (vysvětlení původu jména)</w:t>
      </w:r>
      <w:r>
        <w:rPr>
          <w:rFonts w:cs="Times New Roman" w:ascii="Times New Roman" w:hAnsi="Times New Roman"/>
          <w:i/>
          <w:iCs/>
          <w:sz w:val="24"/>
          <w:szCs w:val="24"/>
        </w:rPr>
        <w:t xml:space="preserve">: </w:t>
      </w:r>
      <w:r>
        <w:rPr>
          <w:rFonts w:cs="Times New Roman" w:ascii="Times New Roman" w:hAnsi="Times New Roman"/>
          <w:i/>
          <w:iCs/>
          <w:sz w:val="24"/>
          <w:szCs w:val="24"/>
          <w:shd w:fill="F6F9D4" w:val="clear"/>
        </w:rPr>
        <w:t>Secundum antīquīs</w:t>
      </w:r>
      <w:r>
        <w:rPr>
          <w:rFonts w:cs="Times New Roman" w:ascii="Times New Roman" w:hAnsi="Times New Roman"/>
          <w:i/>
          <w:iCs/>
          <w:sz w:val="24"/>
          <w:szCs w:val="24"/>
        </w:rPr>
        <w:t xml:space="preserve"> (</w:t>
      </w:r>
      <w:r>
        <w:rPr>
          <w:rFonts w:cs="Times New Roman" w:ascii="Times New Roman" w:hAnsi="Times New Roman"/>
          <w:i/>
          <w:iCs/>
          <w:sz w:val="24"/>
          <w:szCs w:val="24"/>
          <w:shd w:fill="F6F9D4" w:val="clear"/>
        </w:rPr>
        <w:t>Podle starověkých lidí</w:t>
      </w:r>
      <w:r>
        <w:rPr>
          <w:rFonts w:cs="Times New Roman" w:ascii="Times New Roman" w:hAnsi="Times New Roman"/>
          <w:i/>
          <w:iCs/>
          <w:sz w:val="24"/>
          <w:szCs w:val="24"/>
        </w:rPr>
        <w:t xml:space="preserve">) nōmen Promētheī sīgnificābat hominem </w:t>
      </w:r>
      <w:r>
        <w:rPr>
          <w:rFonts w:cs="Times New Roman" w:ascii="Times New Roman" w:hAnsi="Times New Roman"/>
          <w:i/>
          <w:iCs/>
          <w:sz w:val="24"/>
          <w:szCs w:val="24"/>
          <w:shd w:fill="DEE6EF" w:val="clear"/>
        </w:rPr>
        <w:t>callidum</w:t>
      </w:r>
      <w:r>
        <w:rPr>
          <w:rFonts w:cs="Times New Roman" w:ascii="Times New Roman" w:hAnsi="Times New Roman"/>
          <w:i/>
          <w:iCs/>
          <w:sz w:val="24"/>
          <w:szCs w:val="24"/>
        </w:rPr>
        <w:t xml:space="preserve"> (</w:t>
      </w:r>
      <w:r>
        <w:rPr>
          <w:rFonts w:cs="Times New Roman" w:ascii="Times New Roman" w:hAnsi="Times New Roman"/>
          <w:i/>
          <w:iCs/>
          <w:sz w:val="24"/>
          <w:szCs w:val="24"/>
          <w:shd w:fill="DEE6EF" w:val="clear"/>
        </w:rPr>
        <w:t>chytrého</w:t>
      </w:r>
      <w:r>
        <w:rPr>
          <w:rFonts w:cs="Times New Roman" w:ascii="Times New Roman" w:hAnsi="Times New Roman"/>
          <w:i/>
          <w:iCs/>
          <w:sz w:val="24"/>
          <w:szCs w:val="24"/>
        </w:rPr>
        <w:t xml:space="preserve">), </w:t>
      </w:r>
      <w:r>
        <w:rPr>
          <w:rFonts w:cs="Times New Roman" w:ascii="Times New Roman" w:hAnsi="Times New Roman"/>
          <w:i/>
          <w:iCs/>
          <w:sz w:val="24"/>
          <w:szCs w:val="24"/>
          <w:shd w:fill="FFD7D7" w:val="clear"/>
        </w:rPr>
        <w:t>ingeniōsum</w:t>
      </w:r>
      <w:r>
        <w:rPr>
          <w:rFonts w:cs="Times New Roman" w:ascii="Times New Roman" w:hAnsi="Times New Roman"/>
          <w:i/>
          <w:iCs/>
          <w:sz w:val="24"/>
          <w:szCs w:val="24"/>
        </w:rPr>
        <w:t xml:space="preserve"> (</w:t>
      </w:r>
      <w:r>
        <w:rPr>
          <w:rFonts w:cs="Times New Roman" w:ascii="Times New Roman" w:hAnsi="Times New Roman"/>
          <w:i/>
          <w:iCs/>
          <w:sz w:val="24"/>
          <w:szCs w:val="24"/>
          <w:shd w:fill="FFD7D7" w:val="clear"/>
        </w:rPr>
        <w:t>tvořivého</w:t>
      </w:r>
      <w:r>
        <w:rPr>
          <w:rFonts w:cs="Times New Roman" w:ascii="Times New Roman" w:hAnsi="Times New Roman"/>
          <w:i/>
          <w:iCs/>
          <w:sz w:val="24"/>
          <w:szCs w:val="24"/>
        </w:rPr>
        <w:t xml:space="preserve">) et </w:t>
      </w:r>
      <w:r>
        <w:rPr>
          <w:rFonts w:cs="Times New Roman" w:ascii="Times New Roman" w:hAnsi="Times New Roman"/>
          <w:i/>
          <w:iCs/>
          <w:sz w:val="24"/>
          <w:szCs w:val="24"/>
          <w:shd w:fill="FFF5CE" w:val="clear"/>
        </w:rPr>
        <w:t>prōgressīvae cōgitātiōnis</w:t>
      </w:r>
      <w:r>
        <w:rPr>
          <w:rFonts w:cs="Times New Roman" w:ascii="Times New Roman" w:hAnsi="Times New Roman"/>
          <w:i/>
          <w:iCs/>
          <w:sz w:val="24"/>
          <w:szCs w:val="24"/>
        </w:rPr>
        <w:t xml:space="preserve"> (</w:t>
      </w:r>
      <w:r>
        <w:rPr>
          <w:rFonts w:cs="Times New Roman" w:ascii="Times New Roman" w:hAnsi="Times New Roman"/>
          <w:i/>
          <w:iCs/>
          <w:sz w:val="24"/>
          <w:szCs w:val="24"/>
          <w:shd w:fill="FFF5CE" w:val="clear"/>
        </w:rPr>
        <w:t>s progesívním myšlením</w:t>
      </w:r>
      <w:r>
        <w:rPr>
          <w:rFonts w:cs="Times New Roman" w:ascii="Times New Roman" w:hAnsi="Times New Roman"/>
          <w:i/>
          <w:iCs/>
          <w:sz w:val="24"/>
          <w:szCs w:val="24"/>
        </w:rPr>
        <w:t xml:space="preserve">): </w:t>
      </w:r>
      <w:r>
        <w:rPr>
          <w:rFonts w:cs="Times New Roman" w:ascii="Times New Roman" w:hAnsi="Times New Roman"/>
          <w:i/>
          <w:iCs/>
          <w:sz w:val="24"/>
          <w:szCs w:val="24"/>
        </w:rPr>
        <w:t xml:space="preserve">Graecum </w:t>
      </w:r>
      <w:r>
        <w:rPr>
          <w:rFonts w:cs="Times New Roman" w:ascii="Times New Roman" w:hAnsi="Times New Roman"/>
          <w:i/>
          <w:iCs/>
          <w:sz w:val="24"/>
          <w:szCs w:val="24"/>
          <w:shd w:fill="E0C2CD" w:val="clear"/>
        </w:rPr>
        <w:t>pr</w:t>
      </w:r>
      <w:r>
        <w:rPr>
          <w:rFonts w:cs="Times New Roman" w:ascii="Times New Roman" w:hAnsi="Times New Roman"/>
          <w:i/>
          <w:iCs/>
          <w:sz w:val="24"/>
          <w:szCs w:val="24"/>
          <w:shd w:fill="E0C2CD" w:val="clear"/>
        </w:rPr>
        <w:t>aefīxum</w:t>
      </w:r>
      <w:r>
        <w:rPr>
          <w:rFonts w:cs="Times New Roman" w:ascii="Times New Roman" w:hAnsi="Times New Roman"/>
          <w:i/>
          <w:iCs/>
          <w:sz w:val="24"/>
          <w:szCs w:val="24"/>
        </w:rPr>
        <w:t xml:space="preserve"> (</w:t>
      </w:r>
      <w:r>
        <w:rPr>
          <w:rFonts w:cs="Times New Roman" w:ascii="Times New Roman" w:hAnsi="Times New Roman"/>
          <w:i/>
          <w:iCs/>
          <w:sz w:val="24"/>
          <w:szCs w:val="24"/>
          <w:shd w:fill="E0C2CD" w:val="clear"/>
        </w:rPr>
        <w:t>prefix</w:t>
      </w:r>
      <w:r>
        <w:rPr>
          <w:rFonts w:cs="Times New Roman" w:ascii="Times New Roman" w:hAnsi="Times New Roman"/>
          <w:i/>
          <w:iCs/>
          <w:sz w:val="24"/>
          <w:szCs w:val="24"/>
        </w:rPr>
        <w:t>) „prō“ s</w:t>
      </w:r>
      <w:r>
        <w:rPr>
          <w:rFonts w:cs="Times New Roman" w:ascii="Times New Roman" w:hAnsi="Times New Roman"/>
          <w:i/>
          <w:iCs/>
          <w:sz w:val="24"/>
          <w:szCs w:val="24"/>
        </w:rPr>
        <w:t>i</w:t>
      </w:r>
      <w:r>
        <w:rPr>
          <w:rFonts w:cs="Times New Roman" w:ascii="Times New Roman" w:hAnsi="Times New Roman"/>
          <w:i/>
          <w:iCs/>
          <w:sz w:val="24"/>
          <w:szCs w:val="24"/>
        </w:rPr>
        <w:t xml:space="preserve">gnificābat „ante“; </w:t>
      </w:r>
      <w:r>
        <w:rPr>
          <w:rFonts w:cs="Times New Roman" w:ascii="Times New Roman" w:hAnsi="Times New Roman"/>
          <w:i/>
          <w:iCs/>
          <w:sz w:val="24"/>
          <w:szCs w:val="24"/>
          <w:shd w:fill="FFDBB6" w:val="clear"/>
        </w:rPr>
        <w:t>Rādīcem</w:t>
      </w:r>
      <w:r>
        <w:rPr>
          <w:rFonts w:cs="Times New Roman" w:ascii="Times New Roman" w:hAnsi="Times New Roman"/>
          <w:i/>
          <w:iCs/>
          <w:sz w:val="24"/>
          <w:szCs w:val="24"/>
        </w:rPr>
        <w:t xml:space="preserve"> (</w:t>
      </w:r>
      <w:r>
        <w:rPr>
          <w:rFonts w:cs="Times New Roman" w:ascii="Times New Roman" w:hAnsi="Times New Roman"/>
          <w:i/>
          <w:iCs/>
          <w:sz w:val="24"/>
          <w:szCs w:val="24"/>
          <w:shd w:fill="FFDBB6" w:val="clear"/>
        </w:rPr>
        <w:t>kořen</w:t>
      </w:r>
      <w:r>
        <w:rPr>
          <w:rFonts w:cs="Times New Roman" w:ascii="Times New Roman" w:hAnsi="Times New Roman"/>
          <w:i/>
          <w:iCs/>
          <w:sz w:val="24"/>
          <w:szCs w:val="24"/>
        </w:rPr>
        <w:t xml:space="preserve">) nōminis antīquī dērīvābant dē Graecō verbō „manthano“, id est „intellegō“; Et </w:t>
      </w:r>
      <w:r>
        <w:rPr>
          <w:rFonts w:cs="Times New Roman" w:ascii="Times New Roman" w:hAnsi="Times New Roman"/>
          <w:i/>
          <w:iCs/>
          <w:sz w:val="24"/>
          <w:szCs w:val="24"/>
          <w:shd w:fill="DEE7E5" w:val="clear"/>
        </w:rPr>
        <w:t>suffīxum</w:t>
      </w:r>
      <w:r>
        <w:rPr>
          <w:rFonts w:cs="Times New Roman" w:ascii="Times New Roman" w:hAnsi="Times New Roman"/>
          <w:i/>
          <w:iCs/>
          <w:sz w:val="24"/>
          <w:szCs w:val="24"/>
        </w:rPr>
        <w:t xml:space="preserve"> (</w:t>
      </w:r>
      <w:r>
        <w:rPr>
          <w:rFonts w:cs="Times New Roman" w:ascii="Times New Roman" w:hAnsi="Times New Roman"/>
          <w:i/>
          <w:iCs/>
          <w:sz w:val="24"/>
          <w:szCs w:val="24"/>
          <w:shd w:fill="DEE7E5" w:val="clear"/>
        </w:rPr>
        <w:t>sufix</w:t>
      </w:r>
      <w:r>
        <w:rPr>
          <w:rFonts w:cs="Times New Roman" w:ascii="Times New Roman" w:hAnsi="Times New Roman"/>
          <w:i/>
          <w:iCs/>
          <w:sz w:val="24"/>
          <w:szCs w:val="24"/>
        </w:rPr>
        <w:t>) „eus“ s</w:t>
      </w:r>
      <w:r>
        <w:rPr>
          <w:rFonts w:cs="Times New Roman" w:ascii="Times New Roman" w:hAnsi="Times New Roman"/>
          <w:i/>
          <w:iCs/>
          <w:sz w:val="24"/>
          <w:szCs w:val="24"/>
        </w:rPr>
        <w:t>i</w:t>
      </w:r>
      <w:r>
        <w:rPr>
          <w:rFonts w:cs="Times New Roman" w:ascii="Times New Roman" w:hAnsi="Times New Roman"/>
          <w:i/>
          <w:iCs/>
          <w:sz w:val="24"/>
          <w:szCs w:val="24"/>
        </w:rPr>
        <w:t xml:space="preserve">gnificābat </w:t>
      </w:r>
      <w:r>
        <w:rPr>
          <w:rFonts w:cs="Times New Roman" w:ascii="Times New Roman" w:hAnsi="Times New Roman"/>
          <w:i/>
          <w:iCs/>
          <w:sz w:val="24"/>
          <w:szCs w:val="24"/>
          <w:shd w:fill="FFD8CE" w:val="clear"/>
        </w:rPr>
        <w:t>ē</w:t>
      </w:r>
      <w:r>
        <w:rPr>
          <w:rFonts w:cs="Times New Roman" w:ascii="Times New Roman" w:hAnsi="Times New Roman"/>
          <w:i/>
          <w:iCs/>
          <w:sz w:val="24"/>
          <w:szCs w:val="24"/>
          <w:shd w:fill="FFD8CE" w:val="clear"/>
        </w:rPr>
        <w:t>gregium investīgātōrem</w:t>
      </w:r>
      <w:r>
        <w:rPr>
          <w:rFonts w:cs="Times New Roman" w:ascii="Times New Roman" w:hAnsi="Times New Roman"/>
          <w:i/>
          <w:iCs/>
          <w:sz w:val="24"/>
          <w:szCs w:val="24"/>
        </w:rPr>
        <w:t xml:space="preserve"> (</w:t>
      </w:r>
      <w:r>
        <w:rPr>
          <w:rFonts w:cs="Times New Roman" w:ascii="Times New Roman" w:hAnsi="Times New Roman"/>
          <w:i/>
          <w:iCs/>
          <w:sz w:val="24"/>
          <w:szCs w:val="24"/>
          <w:shd w:fill="FFD8CE" w:val="clear"/>
        </w:rPr>
        <w:t>předního myslitele</w:t>
      </w:r>
      <w:r>
        <w:rPr>
          <w:rFonts w:cs="Times New Roman" w:ascii="Times New Roman" w:hAnsi="Times New Roman"/>
          <w:i/>
          <w:iCs/>
          <w:sz w:val="24"/>
          <w:szCs w:val="24"/>
        </w:rPr>
        <w:t xml:space="preserve">). Platō bene nōvit </w:t>
      </w:r>
      <w:r>
        <w:rPr>
          <w:rFonts w:cs="Times New Roman" w:ascii="Times New Roman" w:hAnsi="Times New Roman"/>
          <w:i/>
          <w:iCs/>
          <w:sz w:val="24"/>
          <w:szCs w:val="24"/>
          <w:shd w:fill="DDE8CB" w:val="clear"/>
        </w:rPr>
        <w:t>suprā dictam</w:t>
      </w:r>
      <w:r>
        <w:rPr>
          <w:rFonts w:cs="Times New Roman" w:ascii="Times New Roman" w:hAnsi="Times New Roman"/>
          <w:i/>
          <w:iCs/>
          <w:sz w:val="24"/>
          <w:szCs w:val="24"/>
        </w:rPr>
        <w:t xml:space="preserve"> (</w:t>
      </w:r>
      <w:r>
        <w:rPr>
          <w:rFonts w:cs="Times New Roman" w:ascii="Times New Roman" w:hAnsi="Times New Roman"/>
          <w:i/>
          <w:iCs/>
          <w:sz w:val="24"/>
          <w:szCs w:val="24"/>
          <w:shd w:fill="DDE8CB" w:val="clear"/>
        </w:rPr>
        <w:t>výše zmíněný</w:t>
      </w:r>
      <w:r>
        <w:rPr>
          <w:rFonts w:cs="Times New Roman" w:ascii="Times New Roman" w:hAnsi="Times New Roman"/>
          <w:i/>
          <w:iCs/>
          <w:sz w:val="24"/>
          <w:szCs w:val="24"/>
        </w:rPr>
        <w:t xml:space="preserve">) explicātiōnem orīginis Promētheī nōminis. Platō in dialogō „Prōtagorās“ </w:t>
      </w:r>
      <w:r>
        <w:rPr>
          <w:rFonts w:cs="Times New Roman" w:ascii="Times New Roman" w:hAnsi="Times New Roman"/>
          <w:i/>
          <w:iCs/>
          <w:sz w:val="24"/>
          <w:szCs w:val="24"/>
          <w:shd w:fill="DEDCE6" w:val="clear"/>
        </w:rPr>
        <w:t>adhibet</w:t>
      </w:r>
      <w:r>
        <w:rPr>
          <w:rFonts w:cs="Times New Roman" w:ascii="Times New Roman" w:hAnsi="Times New Roman"/>
          <w:i/>
          <w:iCs/>
          <w:sz w:val="24"/>
          <w:szCs w:val="24"/>
        </w:rPr>
        <w:t xml:space="preserve"> (</w:t>
      </w:r>
      <w:r>
        <w:rPr>
          <w:rFonts w:cs="Times New Roman" w:ascii="Times New Roman" w:hAnsi="Times New Roman"/>
          <w:i/>
          <w:iCs/>
          <w:sz w:val="24"/>
          <w:szCs w:val="24"/>
          <w:shd w:fill="DEDCE6" w:val="clear"/>
        </w:rPr>
        <w:t>používá</w:t>
      </w:r>
      <w:r>
        <w:rPr>
          <w:rFonts w:cs="Times New Roman" w:ascii="Times New Roman" w:hAnsi="Times New Roman"/>
          <w:i/>
          <w:iCs/>
          <w:sz w:val="24"/>
          <w:szCs w:val="24"/>
        </w:rPr>
        <w:t xml:space="preserve">) nōmina Promētheī et Epimētheī </w:t>
      </w:r>
      <w:r>
        <w:rPr>
          <w:rFonts w:cs="Times New Roman" w:ascii="Times New Roman" w:hAnsi="Times New Roman"/>
          <w:i/>
          <w:iCs/>
          <w:sz w:val="24"/>
          <w:szCs w:val="24"/>
          <w:shd w:fill="FFDBB6" w:val="clear"/>
        </w:rPr>
        <w:t>ut contrāria</w:t>
      </w:r>
      <w:r>
        <w:rPr>
          <w:rFonts w:cs="Times New Roman" w:ascii="Times New Roman" w:hAnsi="Times New Roman"/>
          <w:i/>
          <w:iCs/>
          <w:sz w:val="24"/>
          <w:szCs w:val="24"/>
        </w:rPr>
        <w:t xml:space="preserve"> (</w:t>
      </w:r>
      <w:r>
        <w:rPr>
          <w:rFonts w:cs="Times New Roman" w:ascii="Times New Roman" w:hAnsi="Times New Roman"/>
          <w:i/>
          <w:iCs/>
          <w:sz w:val="24"/>
          <w:szCs w:val="24"/>
          <w:shd w:fill="FFDBB6" w:val="clear"/>
        </w:rPr>
        <w:t>jako protikladná</w:t>
      </w:r>
      <w:r>
        <w:rPr>
          <w:rFonts w:cs="Times New Roman" w:ascii="Times New Roman" w:hAnsi="Times New Roman"/>
          <w:i/>
          <w:iCs/>
          <w:sz w:val="24"/>
          <w:szCs w:val="24"/>
        </w:rPr>
        <w:t xml:space="preserve">). </w:t>
      </w:r>
    </w:p>
    <w:p>
      <w:pPr>
        <w:pStyle w:val="Pozn"/>
        <w:spacing w:lineRule="auto" w:line="240" w:before="0" w:after="120"/>
        <w:jc w:val="both"/>
        <w:rPr/>
      </w:pPr>
      <w:r>
        <w:rPr>
          <w:i/>
          <w:iCs/>
        </w:rPr>
        <w:t>Dignus, a, um</w:t>
      </w:r>
      <w:r>
        <w:rPr/>
        <w:t xml:space="preserve"> – hoden (čeho? +ABL.); </w:t>
      </w:r>
      <w:r>
        <w:rPr>
          <w:i/>
          <w:iCs/>
        </w:rPr>
        <w:t>perceptiō, ōnis, f</w:t>
      </w:r>
      <w:r>
        <w:rPr/>
        <w:t xml:space="preserve">. – vnímání, chápání, pojetí; </w:t>
      </w:r>
      <w:r>
        <w:rPr>
          <w:i/>
          <w:iCs/>
        </w:rPr>
        <w:t>Prōtagorās, ae, m</w:t>
      </w:r>
      <w:r>
        <w:rPr/>
        <w:t xml:space="preserve">. (řec. nom., jinak dle 1. dekl.) – Prótagoras, (1. předsókratovský filozof a sofista, 2. Platónův dialog o sofistech a ctnosti); </w:t>
      </w:r>
      <w:r>
        <w:rPr>
          <w:i/>
          <w:iCs/>
        </w:rPr>
        <w:t>postquam</w:t>
      </w:r>
      <w:r>
        <w:rPr/>
        <w:t xml:space="preserve"> (čas. spojka) – poté co; </w:t>
      </w:r>
      <w:r>
        <w:rPr>
          <w:i/>
          <w:iCs/>
        </w:rPr>
        <w:t>persōna creāta</w:t>
      </w:r>
      <w:r>
        <w:rPr/>
        <w:t xml:space="preserve"> – živá bytost, stvoření; </w:t>
      </w:r>
      <w:r>
        <w:rPr>
          <w:i/>
          <w:iCs/>
        </w:rPr>
        <w:t>nātūra, ae, f</w:t>
      </w:r>
      <w:r>
        <w:rPr/>
        <w:t xml:space="preserve">. – ZDE: schopnost; </w:t>
      </w:r>
      <w:r>
        <w:rPr>
          <w:i/>
          <w:iCs/>
        </w:rPr>
        <w:t>quia</w:t>
      </w:r>
      <w:r>
        <w:rPr/>
        <w:t xml:space="preserve"> (důvodová spojka) – protože; </w:t>
      </w:r>
      <w:r>
        <w:rPr>
          <w:i/>
          <w:iCs/>
        </w:rPr>
        <w:t>armīs exūtus</w:t>
      </w:r>
      <w:r>
        <w:rPr/>
        <w:t xml:space="preserve"> – bezbranný; </w:t>
      </w:r>
      <w:r>
        <w:rPr>
          <w:i/>
          <w:iCs/>
        </w:rPr>
        <w:t>relinquō, ere, līquī, lictum</w:t>
      </w:r>
      <w:r>
        <w:rPr/>
        <w:t xml:space="preserve"> – zanechat (koho v jakém stavu? +dvojí AK.); </w:t>
      </w:r>
      <w:r>
        <w:rPr>
          <w:i/>
          <w:iCs/>
        </w:rPr>
        <w:t>techna, ae, f</w:t>
      </w:r>
      <w:r>
        <w:rPr/>
        <w:t xml:space="preserve">. – techné, tvůrčí síla (platónský termín); </w:t>
      </w:r>
      <w:r>
        <w:rPr>
          <w:i/>
          <w:iCs/>
        </w:rPr>
        <w:t>appetītiō nātūrae</w:t>
      </w:r>
      <w:r>
        <w:rPr/>
        <w:t xml:space="preserve"> – přirozený instinkt; </w:t>
      </w:r>
      <w:r>
        <w:rPr>
          <w:i/>
          <w:iCs/>
        </w:rPr>
        <w:t>physis, is, f</w:t>
      </w:r>
      <w:r>
        <w:rPr/>
        <w:t xml:space="preserve">. (AK. SG. </w:t>
      </w:r>
      <w:r>
        <w:rPr>
          <w:i/>
          <w:iCs/>
        </w:rPr>
        <w:t>-im</w:t>
      </w:r>
      <w:r>
        <w:rPr/>
        <w:t xml:space="preserve">) – fysis, přirozený instinkt (platónský termín); </w:t>
      </w:r>
      <w:r>
        <w:rPr>
          <w:i/>
          <w:iCs/>
        </w:rPr>
        <w:t>praevaleō, ēre, uī, –,</w:t>
      </w:r>
      <w:r>
        <w:rPr/>
        <w:t xml:space="preserve"> – mít převahu, být větší (než co? +AK.); </w:t>
      </w:r>
    </w:p>
    <w:sectPr>
      <w:footerReference w:type="default" r:id="rId2"/>
      <w:footnotePr>
        <w:numFmt w:val="decimal"/>
      </w:footnotePr>
      <w:type w:val="nextPage"/>
      <w:pgSz w:w="11906" w:h="16838"/>
      <w:pgMar w:left="720" w:right="720" w:gutter="0" w:header="0" w:top="454" w:footer="539" w:bottom="59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imes New Roman">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83445507"/>
    </w:sdtPr>
    <w:sdtContent>
      <w:p>
        <w:pPr>
          <w:pStyle w:val="Zpat"/>
          <w:jc w:val="center"/>
          <w:rPr/>
        </w:pPr>
        <w:r>
          <w:rPr/>
          <w:fldChar w:fldCharType="begin"/>
        </w:r>
        <w:r>
          <w:rPr/>
          <w:instrText xml:space="preserve"> PAGE </w:instrText>
        </w:r>
        <w:r>
          <w:rPr/>
          <w:fldChar w:fldCharType="separate"/>
        </w:r>
        <w:r>
          <w:rPr/>
          <w:t>2</w:t>
        </w:r>
        <w:r>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rPr>
          <w:lang w:val="la-VA"/>
        </w:rPr>
      </w:pPr>
      <w:r>
        <w:rPr>
          <w:rStyle w:val="Znakypropoznmkupodarou"/>
        </w:rPr>
        <w:footnoteRef/>
      </w:r>
      <w:r>
        <w:rPr>
          <w:lang w:val="la-VA"/>
        </w:rPr>
        <w:t xml:space="preserve"> </w:t>
      </w:r>
      <w:r>
        <w:rPr>
          <w:lang w:val="la-VA"/>
        </w:rPr>
        <w:t xml:space="preserve">Čti: </w:t>
      </w:r>
      <w:r>
        <w:rPr>
          <w:i/>
          <w:iCs/>
          <w:lang w:val="la-VA"/>
        </w:rPr>
        <w:t>inter annōs septingentēsimum quīnquāgēsimum et sescentēsimum quīnquāgēsimum ante Chr</w:t>
      </w:r>
      <w:r>
        <w:rPr>
          <w:i/>
          <w:iCs/>
        </w:rPr>
        <w:t>ī</w:t>
      </w:r>
      <w:r>
        <w:rPr>
          <w:i/>
          <w:iCs/>
          <w:lang w:val="la-VA"/>
        </w:rPr>
        <w:t>stum nātum</w:t>
      </w:r>
      <w:r>
        <w:rPr>
          <w:lang w:val="la-VA"/>
        </w:rPr>
        <w:t>…</w:t>
      </w:r>
    </w:p>
  </w:footnote>
</w:footnotes>
</file>

<file path=word/settings.xml><?xml version="1.0" encoding="utf-8"?>
<w:settings xmlns:w="http://schemas.openxmlformats.org/wordprocessingml/2006/main">
  <w:zoom w:percent="14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Nadpis1">
    <w:name w:val="Heading 1"/>
    <w:basedOn w:val="Normal"/>
    <w:next w:val="Normal"/>
    <w:link w:val="Nadpis1Char"/>
    <w:uiPriority w:val="9"/>
    <w:qFormat/>
    <w:rsid w:val="008f5b74"/>
    <w:pPr>
      <w:keepNext w:val="true"/>
      <w:keepLines/>
      <w:spacing w:before="240" w:after="240"/>
      <w:outlineLvl w:val="0"/>
    </w:pPr>
    <w:rPr>
      <w:rFonts w:ascii="Calibri Light" w:hAnsi="Calibri Light" w:eastAsia="" w:cs="" w:asciiTheme="majorHAnsi" w:cstheme="majorBidi" w:eastAsiaTheme="majorEastAsia" w:hAnsiTheme="majorHAnsi"/>
      <w:color w:val="2F5496" w:themeColor="accent1" w:themeShade="bf"/>
      <w:sz w:val="32"/>
      <w:szCs w:val="32"/>
      <w:lang w:val="la-VA"/>
    </w:rPr>
  </w:style>
  <w:style w:type="character" w:styleId="DefaultParagraphFont" w:default="1">
    <w:name w:val="Default Paragraph Font"/>
    <w:uiPriority w:val="1"/>
    <w:semiHidden/>
    <w:unhideWhenUsed/>
    <w:qFormat/>
    <w:rPr/>
  </w:style>
  <w:style w:type="character" w:styleId="PoznChar" w:customStyle="1">
    <w:name w:val="Pozn Char"/>
    <w:basedOn w:val="DefaultParagraphFont"/>
    <w:link w:val="Pozn"/>
    <w:qFormat/>
    <w:rsid w:val="00a5008c"/>
    <w:rPr>
      <w:rFonts w:ascii="Times New Roman" w:hAnsi="Times New Roman" w:cs="Times New Roman"/>
    </w:rPr>
  </w:style>
  <w:style w:type="character" w:styleId="Nadpis1Char" w:customStyle="1">
    <w:name w:val="Nadpis 1 Char"/>
    <w:basedOn w:val="DefaultParagraphFont"/>
    <w:uiPriority w:val="9"/>
    <w:qFormat/>
    <w:rsid w:val="008f5b74"/>
    <w:rPr>
      <w:rFonts w:ascii="Calibri Light" w:hAnsi="Calibri Light" w:eastAsia="" w:cs="" w:asciiTheme="majorHAnsi" w:cstheme="majorBidi" w:eastAsiaTheme="majorEastAsia" w:hAnsiTheme="majorHAnsi"/>
      <w:color w:val="2F5496" w:themeColor="accent1" w:themeShade="bf"/>
      <w:sz w:val="32"/>
      <w:szCs w:val="32"/>
      <w:lang w:val="la-VA"/>
    </w:rPr>
  </w:style>
  <w:style w:type="character" w:styleId="TextpoznpodarouChar" w:customStyle="1">
    <w:name w:val="Text pozn. pod čarou Char"/>
    <w:basedOn w:val="DefaultParagraphFont"/>
    <w:uiPriority w:val="99"/>
    <w:semiHidden/>
    <w:qFormat/>
    <w:rsid w:val="00576237"/>
    <w:rPr>
      <w:sz w:val="20"/>
      <w:szCs w:val="20"/>
    </w:rPr>
  </w:style>
  <w:style w:type="character" w:styleId="Znakypropoznmkupodarou">
    <w:name w:val="Znaky pro poznámku pod čarou"/>
    <w:uiPriority w:val="99"/>
    <w:semiHidden/>
    <w:unhideWhenUsed/>
    <w:qFormat/>
    <w:rsid w:val="00576237"/>
    <w:rPr>
      <w:vertAlign w:val="superscript"/>
    </w:rPr>
  </w:style>
  <w:style w:type="character" w:styleId="Ukotvenpoznmkypodarou">
    <w:name w:val="Footnote Reference"/>
    <w:rPr>
      <w:vertAlign w:val="superscript"/>
    </w:rPr>
  </w:style>
  <w:style w:type="character" w:styleId="ZhlavChar" w:customStyle="1">
    <w:name w:val="Záhlaví Char"/>
    <w:basedOn w:val="DefaultParagraphFont"/>
    <w:uiPriority w:val="99"/>
    <w:qFormat/>
    <w:rsid w:val="005a4957"/>
    <w:rPr/>
  </w:style>
  <w:style w:type="character" w:styleId="ZpatChar" w:customStyle="1">
    <w:name w:val="Zápatí Char"/>
    <w:basedOn w:val="DefaultParagraphFont"/>
    <w:uiPriority w:val="99"/>
    <w:qFormat/>
    <w:rsid w:val="005a4957"/>
    <w:rPr/>
  </w:style>
  <w:style w:type="character" w:styleId="ZklodstChar" w:customStyle="1">
    <w:name w:val="Zákl. odst. Char"/>
    <w:basedOn w:val="DefaultParagraphFont"/>
    <w:link w:val="Zklodst"/>
    <w:qFormat/>
    <w:rsid w:val="007d166b"/>
    <w:rPr>
      <w:rFonts w:ascii="Times New Roman" w:hAnsi="Times New Roman" w:cs="Times New Roman"/>
      <w:sz w:val="24"/>
      <w:szCs w:val="24"/>
    </w:rPr>
  </w:style>
  <w:style w:type="character" w:styleId="Znakyprovysvtlivky">
    <w:name w:val="Znaky pro vysvětlivky"/>
    <w:qFormat/>
    <w:rPr>
      <w:vertAlign w:val="superscript"/>
    </w:rPr>
  </w:style>
  <w:style w:type="character" w:styleId="Ukotvenvysvtlivky">
    <w:name w:val="Endnote Reference"/>
    <w:rPr>
      <w:vertAlign w:val="superscript"/>
    </w:rPr>
  </w:style>
  <w:style w:type="paragraph" w:styleId="Nadpis">
    <w:name w:val="Nadpis"/>
    <w:basedOn w:val="Normal"/>
    <w:next w:val="Tlotextu"/>
    <w:qFormat/>
    <w:pPr>
      <w:keepNext w:val="true"/>
      <w:spacing w:before="240" w:after="120"/>
    </w:pPr>
    <w:rPr>
      <w:rFonts w:ascii="Liberation Sans" w:hAnsi="Liberation Sans" w:eastAsia="Noto Sans CJK SC" w:cs="Noto Sans Devanagari"/>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Noto Sans Devanagari"/>
    </w:rPr>
  </w:style>
  <w:style w:type="paragraph" w:styleId="Popisek">
    <w:name w:val="Caption"/>
    <w:basedOn w:val="Normal"/>
    <w:qFormat/>
    <w:pPr>
      <w:suppressLineNumbers/>
      <w:spacing w:before="120" w:after="120"/>
    </w:pPr>
    <w:rPr>
      <w:rFonts w:cs="Noto Sans Devanagari"/>
      <w:i/>
      <w:iCs/>
      <w:sz w:val="24"/>
      <w:szCs w:val="24"/>
    </w:rPr>
  </w:style>
  <w:style w:type="paragraph" w:styleId="Rejstk">
    <w:name w:val="Rejstřík"/>
    <w:basedOn w:val="Normal"/>
    <w:qFormat/>
    <w:pPr>
      <w:suppressLineNumbers/>
    </w:pPr>
    <w:rPr>
      <w:rFonts w:cs="Noto Sans Devanagari"/>
    </w:rPr>
  </w:style>
  <w:style w:type="paragraph" w:styleId="Pozn" w:customStyle="1">
    <w:name w:val="Pozn"/>
    <w:basedOn w:val="Normal"/>
    <w:link w:val="PoznChar"/>
    <w:qFormat/>
    <w:rsid w:val="00a5008c"/>
    <w:pPr>
      <w:spacing w:lineRule="auto" w:line="240" w:before="0" w:after="120"/>
      <w:jc w:val="both"/>
    </w:pPr>
    <w:rPr>
      <w:rFonts w:ascii="Times New Roman" w:hAnsi="Times New Roman" w:cs="Times New Roman"/>
    </w:rPr>
  </w:style>
  <w:style w:type="paragraph" w:styleId="Poznmkapodarou">
    <w:name w:val="Footnote Text"/>
    <w:basedOn w:val="Normal"/>
    <w:link w:val="TextpoznpodarouChar"/>
    <w:uiPriority w:val="99"/>
    <w:semiHidden/>
    <w:unhideWhenUsed/>
    <w:rsid w:val="00576237"/>
    <w:pPr>
      <w:spacing w:lineRule="auto" w:line="240" w:before="0" w:after="0"/>
    </w:pPr>
    <w:rPr>
      <w:sz w:val="20"/>
      <w:szCs w:val="20"/>
    </w:rPr>
  </w:style>
  <w:style w:type="paragraph" w:styleId="Zhlavazpat">
    <w:name w:val="Záhlaví a zápatí"/>
    <w:basedOn w:val="Normal"/>
    <w:qFormat/>
    <w:pPr/>
    <w:rPr/>
  </w:style>
  <w:style w:type="paragraph" w:styleId="Zhlav">
    <w:name w:val="Header"/>
    <w:basedOn w:val="Normal"/>
    <w:link w:val="ZhlavChar"/>
    <w:uiPriority w:val="99"/>
    <w:unhideWhenUsed/>
    <w:rsid w:val="005a4957"/>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5a4957"/>
    <w:pPr>
      <w:tabs>
        <w:tab w:val="clear" w:pos="708"/>
        <w:tab w:val="center" w:pos="4536" w:leader="none"/>
        <w:tab w:val="right" w:pos="9072" w:leader="none"/>
      </w:tabs>
      <w:spacing w:lineRule="auto" w:line="240" w:before="0" w:after="0"/>
    </w:pPr>
    <w:rPr/>
  </w:style>
  <w:style w:type="paragraph" w:styleId="Zklodst" w:customStyle="1">
    <w:name w:val="Zákl. odst."/>
    <w:basedOn w:val="Normal"/>
    <w:link w:val="ZklodstChar"/>
    <w:qFormat/>
    <w:rsid w:val="007d166b"/>
    <w:pPr>
      <w:spacing w:lineRule="auto" w:line="360"/>
      <w:jc w:val="both"/>
    </w:pPr>
    <w:rPr>
      <w:rFonts w:ascii="Times New Roman" w:hAnsi="Times New Roman" w:cs="Times New Roman"/>
      <w:sz w:val="24"/>
      <w:szCs w:val="24"/>
    </w:rPr>
  </w:style>
  <w:style w:type="paragraph" w:styleId="Caption">
    <w:name w:val="caption"/>
    <w:basedOn w:val="Normal"/>
    <w:next w:val="Normal"/>
    <w:uiPriority w:val="35"/>
    <w:unhideWhenUsed/>
    <w:qFormat/>
    <w:rsid w:val="00ca756b"/>
    <w:pPr>
      <w:spacing w:lineRule="auto" w:line="240" w:before="0" w:after="200"/>
    </w:pPr>
    <w:rPr>
      <w:i/>
      <w:iCs/>
      <w:color w:val="44546A" w:themeColor="text2"/>
      <w:sz w:val="18"/>
      <w:szCs w:val="18"/>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35C04-BF2C-438B-AD9F-8144F882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Timesy-12-ř1-5-do_bloku</Template>
  <TotalTime>1266</TotalTime>
  <Application>LibreOffice/7.5.1.2$Linux_X86_64 LibreOffice_project/50$Build-2</Application>
  <AppVersion>15.0000</AppVersion>
  <Pages>2</Pages>
  <Words>544</Words>
  <Characters>3556</Characters>
  <CharactersWithSpaces>4127</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2022-11-17T08:34:00Z</dcterms:created>
  <dc:creator>Martin Provazník</dc:creator>
  <dc:description/>
  <dc:language>cs-CZ</dc:language>
  <cp:lastModifiedBy/>
  <cp:lastPrinted>2022-11-18T17:54:00Z</cp:lastPrinted>
  <dcterms:modified xsi:type="dcterms:W3CDTF">2023-03-26T12:56:41Z</dcterms:modified>
  <cp:revision>115</cp:revision>
  <dc:subject/>
  <dc:title/>
</cp:coreProperties>
</file>

<file path=docProps/custom.xml><?xml version="1.0" encoding="utf-8"?>
<Properties xmlns="http://schemas.openxmlformats.org/officeDocument/2006/custom-properties" xmlns:vt="http://schemas.openxmlformats.org/officeDocument/2006/docPropsVTypes"/>
</file>